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01" w:rsidRPr="00BE414A" w:rsidRDefault="00BE414A" w:rsidP="00BE414A">
      <w:pPr>
        <w:jc w:val="center"/>
        <w:rPr>
          <w:rFonts w:ascii="Gill Sans MT" w:hAnsi="Gill Sans MT"/>
        </w:rPr>
      </w:pPr>
      <w:r w:rsidRPr="00BE414A">
        <w:rPr>
          <w:rFonts w:ascii="Gill Sans MT" w:hAnsi="Gill Sans MT"/>
        </w:rPr>
        <w:t>Tanfelügyeleti eredmények intézmény II.</w:t>
      </w:r>
    </w:p>
    <w:p w:rsidR="007F5478" w:rsidRPr="00BE414A" w:rsidRDefault="00BE414A" w:rsidP="00BE414A">
      <w:pPr>
        <w:jc w:val="center"/>
        <w:rPr>
          <w:rFonts w:ascii="Gill Sans MT" w:hAnsi="Gill Sans MT"/>
        </w:rPr>
      </w:pPr>
      <w:r>
        <w:rPr>
          <w:rFonts w:ascii="Gill Sans MT" w:hAnsi="Gill Sans MT"/>
        </w:rPr>
        <w:t>2023. június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1. Pedagógiai folyamatok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  <w:r w:rsidRPr="00BE414A"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  <w:t>-</w:t>
      </w: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8"/>
        <w:gridCol w:w="1362"/>
      </w:tblGrid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stratégiai és operatív tervezés koherenciájának megvalósulása.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intézményi stratégiai dokumentumok és a köznevelési célok összhangjának megvalósulása.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3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stratégiai tervek megvalósulásának elősegítése a tanévekre bontott éves tervek alkalmazásával.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éves tervek és a beszámolók összhangjának megvalósulása.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pedagógiai folyamatok követhetők a pedagógusok és az intézmény dokumentumaiban.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intézményi célok elérését támogató ellenőrzési rendszer működtetése.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intézményi önértékelési rendszer jogszabálynak megfelelő működtetése.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pedagógiai program alapelveivel és követelményeivel összhangban álló mérési, ellenőrzési és </w:t>
            </w:r>
          </w:p>
          <w:p w:rsidR="007F5478" w:rsidRPr="00BE414A" w:rsidRDefault="007F5478" w:rsidP="007F5478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értékelési rendszer működtetése.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ellenőrzés és a mérés, értékelés eredményeinek rendszeres visszacsatolása.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7F5478" w:rsidRPr="00BE414A" w:rsidRDefault="007F5478" w:rsidP="007F5478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Magasszínvonalú vezetői tervezés és az ezt támogató feszített pedagógiai munka, mely lehetővé teszi a tanulás mellett a sportéletet. A stratégiai és operatív tervezés a külső és a belső partnerek bevonásával a jogszabályi változások beépítésével a DÖK. és a szülői szervezetek jóváhagyásával történik. A munkatervek és beszámolók szempontjai egységesek. A PP-ben leírtak valósulnak meg a gyakorlatban. Az iskola </w:t>
      </w:r>
      <w:proofErr w:type="spellStart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vonzerejében</w:t>
      </w:r>
      <w:proofErr w:type="spellEnd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lényeges szerepe van a pedagógusok kitartó, lelkiismeretes munkájának, melynek biztosítják a sportélet mellett a tanulás színvonalát.</w:t>
      </w:r>
    </w:p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7F5478" w:rsidRPr="00BE414A" w:rsidRDefault="007F5478" w:rsidP="007F5478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tanulói teljesítmény mérésének, értékelésének visszacsatolása, szükség esetén fejlesztési terv kidolgozása a sporton kívül a tanulmányi munkában is.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2. Személyiség- és közösségfejlesztés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  <w:r w:rsidRPr="00BE414A"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  <w:t>-</w:t>
      </w: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0"/>
        <w:gridCol w:w="1250"/>
      </w:tblGrid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1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pedagógiai programban meghatározottaknak megfelelő személyiségfejlesztési feladatok megvalósulása.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13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személyes és szociális képességeinek fejlesztése és nyomon követhetőségének megvalósulása.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1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tanulók szociális hátrányainak enyhítésére kidolgozott rendszer működtetése.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1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pedagógiai programmal összhangban lévő önálló tanulástámogatási gyakorlat megvalósítása.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1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pedagógiai programmal összhangban álló egészséges és környezettudatos életmódra nevelés támogatása.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1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pedagógiai programban megfogalmazott közösségfejlesztési feladatokkal összhangban lévő tanulói</w:t>
            </w:r>
          </w:p>
          <w:p w:rsidR="007F5478" w:rsidRPr="00BE414A" w:rsidRDefault="007F5478" w:rsidP="007F5478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együttműködés támogatása.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1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több szinten és eredményesen szerveződő közösségépítő programok megvalósulása.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7F5478" w:rsidRPr="00BE414A" w:rsidRDefault="007F5478" w:rsidP="007F5478">
      <w:pPr>
        <w:numPr>
          <w:ilvl w:val="0"/>
          <w:numId w:val="1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intézményben és azon kívül is jelentős a közösségfejlesztés szerepe, amit a pedagógusok elfogadó, befogadó magatartása nagyban segít. A tanulás támogatása az iskola profilja (</w:t>
      </w:r>
      <w:proofErr w:type="spellStart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sportiskola</w:t>
      </w:r>
      <w:proofErr w:type="spellEnd"/>
      <w:proofErr w:type="gramStart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) ,és</w:t>
      </w:r>
      <w:proofErr w:type="gramEnd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 az elhivatott pedagógusok miatt magas színvonalon folyik. A sikeres mentorprogram segíti az élsportoló tanulókat a sport és a tanulás eredményes </w:t>
      </w:r>
      <w:proofErr w:type="gramStart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összeegyeztetését..</w:t>
      </w:r>
      <w:proofErr w:type="gramEnd"/>
    </w:p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lastRenderedPageBreak/>
        <w:t>Fejleszthető tevékenységek</w:t>
      </w:r>
    </w:p>
    <w:p w:rsidR="007F5478" w:rsidRPr="00BE414A" w:rsidRDefault="007F5478" w:rsidP="007F5478">
      <w:pPr>
        <w:numPr>
          <w:ilvl w:val="0"/>
          <w:numId w:val="2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szülők bevonása az iskola közösségi programjaiba.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3. Az intézményben folyó pedagógiai munkával összefüggő eredmények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  <w:r w:rsidRPr="00BE414A"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  <w:t>-</w:t>
      </w: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6"/>
        <w:gridCol w:w="1404"/>
      </w:tblGrid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2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Az eredményességi mutatók nyilvántartása, az eredmények rendszeres elemzése és azok </w:t>
            </w:r>
          </w:p>
          <w:p w:rsidR="007F5478" w:rsidRPr="00BE414A" w:rsidRDefault="007F5478" w:rsidP="007F5478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visszacsatolásának megvalósulása.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2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kiemelt nevelési és oktatási célok elvárásainak megfelelő eredmények teljesülése.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23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belső és külső mérési eredmények intézményi szintű közös elemzése, a szakmai tanulságok</w:t>
            </w:r>
          </w:p>
          <w:p w:rsidR="007F5478" w:rsidRPr="00BE414A" w:rsidRDefault="007F5478" w:rsidP="007F5478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levonása és visszacsatolása.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2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Kidolgozott és gyakorlatban működő a tanulók tanulási útjának követése.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7F5478" w:rsidRPr="00BE414A" w:rsidRDefault="007F5478" w:rsidP="007F5478">
      <w:pPr>
        <w:numPr>
          <w:ilvl w:val="0"/>
          <w:numId w:val="2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eredményességi mutatók nyilvántartása, az eredmények rendszeres elemzése és azok visszacsatolásának megvalósulása. Az élsportoló tanulók tanulását segítő mentorprogram jelentősége, támogatása.</w:t>
      </w:r>
    </w:p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7F5478" w:rsidRPr="00BE414A" w:rsidRDefault="007F5478" w:rsidP="007F5478">
      <w:pPr>
        <w:numPr>
          <w:ilvl w:val="0"/>
          <w:numId w:val="2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Kompetenciamérések eredményeinek szinten tartása. A kompetencia méréseken kívüli eredmények folyamatos dokumentálása. A tanulók tanulási útjának eredményesebb követése.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4. Belső kapcsolatok, együttműködés, kommunikáció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  <w:r w:rsidRPr="00BE414A"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  <w:t>-</w:t>
      </w: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0"/>
        <w:gridCol w:w="1450"/>
      </w:tblGrid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27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pedagógusok többszintű együttműködésének és szakmai munkájuk intézményi célokkal </w:t>
            </w:r>
          </w:p>
          <w:p w:rsidR="007F5478" w:rsidRPr="00BE414A" w:rsidRDefault="007F5478" w:rsidP="007F5478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összhangban történő megvalósulása.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2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Rendszeres, magas színvonalú belső tudásmegosztás.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Megfelelő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2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Folyamatos és hatékony, több csatornán működő kommunikációs rendszer működése.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7F5478" w:rsidRPr="00BE414A" w:rsidRDefault="007F5478" w:rsidP="007F5478">
      <w:pPr>
        <w:numPr>
          <w:ilvl w:val="0"/>
          <w:numId w:val="3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Folyamatos és hatékony, több csatornán működő kommunikációs rendszer működése. Az innovációs törekvéseket támogatja a vezetőség.</w:t>
      </w:r>
    </w:p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7F5478" w:rsidRPr="00BE414A" w:rsidRDefault="007F5478" w:rsidP="007F5478">
      <w:pPr>
        <w:numPr>
          <w:ilvl w:val="0"/>
          <w:numId w:val="3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Egymás jógyakorlatainak megismerése. Belső tudásmegosztás megerősítése.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5. Az intézmény külső kapcsolatai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  <w:r w:rsidRPr="00BE414A"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  <w:t>-</w:t>
      </w: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8"/>
        <w:gridCol w:w="1462"/>
      </w:tblGrid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3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pedagógiai program céljainak megvalósítását támogató partneri kapcsolatok kialakítása.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33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partnerekkel való együttműködés az intézményi dokumentumokban szabályozott.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3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partnerek tájékoztatása rendszeres, szabályozott.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3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intézmény közéletben való részvétele nyomon követhető.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7F5478" w:rsidRPr="00BE414A" w:rsidRDefault="007F5478" w:rsidP="007F5478">
      <w:pPr>
        <w:numPr>
          <w:ilvl w:val="0"/>
          <w:numId w:val="3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növekvő partneri hálózat kiépítése és kapcsolattartása. Az iskola törekszik minden kerületi rendezvényen, elsősorban a sportéletben részt venni, a kiváló sporteredményeket megőrizni. A DÖK segíti a hagyományápoló munkát.</w:t>
      </w:r>
    </w:p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7F5478" w:rsidRPr="00BE414A" w:rsidRDefault="007F5478" w:rsidP="007F5478">
      <w:pPr>
        <w:numPr>
          <w:ilvl w:val="0"/>
          <w:numId w:val="3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lastRenderedPageBreak/>
        <w:t>A partnerek fokozott bevonása az iskola életébe.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6. A pedagógiai működés feltételei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  <w:r w:rsidRPr="00BE414A"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  <w:t>-</w:t>
      </w: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2"/>
        <w:gridCol w:w="1258"/>
      </w:tblGrid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38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Az intézmény képzési struktúrájának, pedagógiai értékeinek, céljainak megfelelő </w:t>
            </w:r>
            <w:proofErr w:type="spellStart"/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infrastuktúra</w:t>
            </w:r>
            <w:proofErr w:type="spellEnd"/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biztosítása.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3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különleges bánásmódot igénylő tanulók nevelésének, oktatásának megfelelő tárgyi környezet kialakítása.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Rendszeres és nyomon követhető IKT-eszközhasználat.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1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Átgondolt, tervezett, az intézmény pedagógiai értékeinek, céljainak megfelelő humánerőforrás-</w:t>
            </w:r>
          </w:p>
          <w:p w:rsidR="007F5478" w:rsidRPr="00BE414A" w:rsidRDefault="007F5478" w:rsidP="007F5478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szükséglet biztosítása.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2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Magas szintű és hatékony szervezeti kultúra megléte jellemző.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3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intézmény hagyományápoló, hagyományteremtő tevékenysége megvalósul.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4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Szabályozott felelősség- és hatáskörmegosztás.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5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 munkatársak döntéselőkészítésbe való bevonása.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6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Innovációra nyitott szervezeti kultúra működése.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7F5478" w:rsidRPr="00BE414A" w:rsidRDefault="007F5478" w:rsidP="007F5478">
      <w:pPr>
        <w:numPr>
          <w:ilvl w:val="0"/>
          <w:numId w:val="4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 pedagógiai munka megszervezésében, a feladatok elosztásában a szakértelem kiemelt hangsúlyt kap. Az intézmény alkalmazotti közösségének munkájára, együttműködésére a magas szintű belső igényesség, hatékonyság jellemző. Az iskolavezetés nyitottsága, a munkatársak döntéselőkészítésbe való bevonása, az összetartó, toleráns, változóképes fennmaradó nevelőtestület áldozatos munkája.</w:t>
      </w:r>
    </w:p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7F5478" w:rsidRPr="00BE414A" w:rsidRDefault="007F5478" w:rsidP="007F5478">
      <w:pPr>
        <w:numPr>
          <w:ilvl w:val="0"/>
          <w:numId w:val="4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Az innováció szélesebb körű elfogadása és alkalmazása a pedagógusi tevékenységben. Egyenletes terhelésre való törekvés további erősítése.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333333"/>
          <w:sz w:val="21"/>
          <w:szCs w:val="21"/>
          <w:lang w:eastAsia="hu-HU"/>
        </w:rPr>
        <w:t>7. Az intézménytípusra vonatkozó nevelési, nevelési-oktatási irányelvben meghatározott országos szakmai elvárásoknak és az intézményi céloknak való megfelelés</w:t>
      </w:r>
    </w:p>
    <w:p w:rsidR="007F5478" w:rsidRPr="00BE414A" w:rsidRDefault="007F5478" w:rsidP="007F5478">
      <w:pPr>
        <w:shd w:val="clear" w:color="auto" w:fill="FFFFFF"/>
        <w:spacing w:after="0" w:line="384" w:lineRule="atLeast"/>
        <w:textAlignment w:val="baseline"/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</w:pPr>
      <w:r w:rsidRPr="00BE414A">
        <w:rPr>
          <w:rFonts w:ascii="Gill Sans MT" w:eastAsia="Times New Roman" w:hAnsi="Gill Sans MT" w:cs="Helvetica"/>
          <w:b/>
          <w:bCs/>
          <w:color w:val="999999"/>
          <w:sz w:val="27"/>
          <w:szCs w:val="27"/>
          <w:lang w:eastAsia="hu-HU"/>
        </w:rPr>
        <w:t>-</w:t>
      </w:r>
    </w:p>
    <w:tbl>
      <w:tblPr>
        <w:tblW w:w="12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7"/>
        <w:gridCol w:w="1333"/>
      </w:tblGrid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49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A Kormány és az oktatásért felelős miniszter által kiadott tantervi szabályozó dokumentumban </w:t>
            </w:r>
          </w:p>
          <w:p w:rsidR="007F5478" w:rsidRPr="00BE414A" w:rsidRDefault="007F5478" w:rsidP="007F5478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meghatározott célok és a pedagógiai program összhangja.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  <w:tr w:rsidR="007F5478" w:rsidRPr="00BE414A" w:rsidTr="007F547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numPr>
                <w:ilvl w:val="0"/>
                <w:numId w:val="50"/>
              </w:num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Az intézményi tervezési dokumentumok alapja a pedagógiai programban szereplő kiemelt stratégiai</w:t>
            </w:r>
          </w:p>
          <w:p w:rsidR="007F5478" w:rsidRPr="00BE414A" w:rsidRDefault="007F5478" w:rsidP="007F5478">
            <w:pPr>
              <w:spacing w:before="75" w:after="75" w:line="240" w:lineRule="auto"/>
              <w:ind w:left="300"/>
              <w:textAlignment w:val="baseline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 xml:space="preserve"> célok megvalósítása.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5478" w:rsidRPr="00BE414A" w:rsidRDefault="007F5478" w:rsidP="007F5478">
            <w:pPr>
              <w:spacing w:after="0" w:line="240" w:lineRule="auto"/>
              <w:jc w:val="right"/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</w:pPr>
            <w:r w:rsidRPr="00BE414A">
              <w:rPr>
                <w:rFonts w:ascii="Gill Sans MT" w:eastAsia="Times New Roman" w:hAnsi="Gill Sans MT" w:cs="Times New Roman"/>
                <w:sz w:val="21"/>
                <w:szCs w:val="21"/>
                <w:lang w:eastAsia="hu-HU"/>
              </w:rPr>
              <w:t>Kiemelkedő</w:t>
            </w:r>
          </w:p>
        </w:tc>
      </w:tr>
    </w:tbl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Kiemelkedő tevékenységek</w:t>
      </w:r>
    </w:p>
    <w:p w:rsidR="007F5478" w:rsidRPr="00BE414A" w:rsidRDefault="007F5478" w:rsidP="007F5478">
      <w:pPr>
        <w:numPr>
          <w:ilvl w:val="0"/>
          <w:numId w:val="5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Precíz egymásra épülő dokumentumok elkészítése, egymásra </w:t>
      </w:r>
      <w:proofErr w:type="gramStart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épülése.(</w:t>
      </w:r>
      <w:proofErr w:type="gramEnd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PP, Munkatervek, Beszámolók) Minden tanév tervezésekor megtörténik az intézmény tevékenységeinek terveinek ütemezése, ami az éves munkatervben és más fejlesztési, intézkedési tervekben rögzítésre is kerül. A munkatervek a Pedagógiai Programra épülnek, a tervek megvalósulásának értékelését a beszámolók tartalmazzák. A Pedagógiai Programban kitűzött célok megvalósításához a tantestület rendel feladatokat, melyeket a vizsgált év folyamán meg is valósítottak.</w:t>
      </w:r>
    </w:p>
    <w:p w:rsidR="007F5478" w:rsidRPr="00BE414A" w:rsidRDefault="007F5478" w:rsidP="007F5478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D1130D"/>
          <w:sz w:val="21"/>
          <w:szCs w:val="21"/>
          <w:lang w:eastAsia="hu-HU"/>
        </w:rPr>
        <w:t>Fejleszthető tevékenységek</w:t>
      </w:r>
    </w:p>
    <w:p w:rsidR="007F5478" w:rsidRPr="00BE414A" w:rsidRDefault="007F5478" w:rsidP="007F5478">
      <w:pPr>
        <w:numPr>
          <w:ilvl w:val="0"/>
          <w:numId w:val="5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</w:pPr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 xml:space="preserve">A szakmai és módszertani tudás frissítése ön-vagy továbbképzések </w:t>
      </w:r>
      <w:proofErr w:type="gramStart"/>
      <w:r w:rsidRPr="00BE414A">
        <w:rPr>
          <w:rFonts w:ascii="Gill Sans MT" w:eastAsia="Times New Roman" w:hAnsi="Gill Sans MT" w:cs="Helvetica"/>
          <w:color w:val="555555"/>
          <w:sz w:val="21"/>
          <w:szCs w:val="21"/>
          <w:lang w:eastAsia="hu-HU"/>
        </w:rPr>
        <w:t>keretében..</w:t>
      </w:r>
      <w:proofErr w:type="gramEnd"/>
    </w:p>
    <w:p w:rsidR="007F5478" w:rsidRPr="00BE414A" w:rsidRDefault="007F5478">
      <w:pPr>
        <w:rPr>
          <w:rFonts w:ascii="Gill Sans MT" w:hAnsi="Gill Sans MT"/>
        </w:rPr>
      </w:pPr>
      <w:r w:rsidRPr="00BE414A">
        <w:rPr>
          <w:rFonts w:ascii="Gill Sans MT" w:hAnsi="Gill Sans MT"/>
        </w:rPr>
        <w:br w:type="page"/>
      </w:r>
    </w:p>
    <w:p w:rsidR="007F5478" w:rsidRPr="00C42EE6" w:rsidRDefault="007F5478" w:rsidP="00C42EE6">
      <w:pPr>
        <w:jc w:val="center"/>
        <w:rPr>
          <w:rFonts w:ascii="Gill Sans MT" w:hAnsi="Gill Sans MT"/>
        </w:rPr>
      </w:pPr>
      <w:bookmarkStart w:id="0" w:name="_GoBack"/>
      <w:r w:rsidRPr="00C42EE6">
        <w:rPr>
          <w:rFonts w:ascii="Gill Sans MT" w:hAnsi="Gill Sans MT"/>
        </w:rPr>
        <w:lastRenderedPageBreak/>
        <w:t>Elvárások értékelése</w:t>
      </w:r>
    </w:p>
    <w:bookmarkEnd w:id="0"/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1.1.1. Az intézmény vezetése irányítja az intézmény stratégiai és operatív dokumentumainak koherens kialakítását.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5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nevelőtestület az iskolavezetés irányításával közösen határozza meg az iskolánkban folyó tanulás tartalmi, formai és szervezeti egységeit. A PP és az SZMSZ megalkotása, elfogadása után készülnek a munkatervek, továbbképzési program, beiskolázási terv. Először a felső vezetés foglalkozik jogi szinten a dokumentumalkotással, majd ezt követi a pedagógusi szint. (PP, SZMSZ, Munkatervek, beszámolók)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1.1.2. Az intézmény stratégiai és operatív dokumentumai az intézmény működését befolyásoló mérési (az Eredmények értékelési területnél felsorolt adatok), demográfiai, munkaerő-piaci és más külső mutatók (például szociokulturális felmérések adatai) azonosítása, gyűjtése, feldolgozása és értelmezése alapján készülnek. Ezek segítik az intézmény jelenlegi és jövőbeni helyzetének megítélését.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5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igazodik a külső és a belső elvárásokhoz. A fő profil a köznevelés típusú sportiskolai képzés.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1.1.3. A tervek elkészítése a nevelőtestület bevonásával történik, az intézmény munkatársainak felkészítése a feladatra időben megtörténik.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5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tervek elkészítése a nevelőtestület (28 fő) bevonásával történik, az intézményben 2 munkaközösség működik. A nevelőtestület létszáma miatt a vezetőség napi kapcsolatban van a pedagógusokkal, akik aktívan részt vesznek a munkatervek kialakításában, a feladatokra való felkészítésük folyamatosan és időben megtörténik.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1.1.4. Biztosított a fenntartóval való jogszabály szerinti együttműködés.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5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fenntartóval (Baptista Szeretetszolgálat) való együttműködés kiváló és jogszerű. A fenntartónak tudomása van az intézményi tevékenységről. Az értekezletekről jegyzőkönyv készül, amelynek egy példányát az értekezletet követően az intézmény vezetője eljuttat a fenntartónak. Az vezetőség évente kötelezően beszámol a fenntartónak az iskola munkájáról. (jegyzőkönyvek, éves beszámolók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).(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1.1.5. Az intézményi önértékelési ciklust lezáró intézkedési terv és a stratégiai és operatív tervezés dokumentumainak összehangolása megtörténik.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5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intézményi önértékelés alapos munkát tükröz. Az intézkedési tervben megjelennek a kiemelkedő és fejleszthető területek és megtörtént a stratégiai és az operatív dokumentumok összehangolása is.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1.1.6. Az éves munkaterv összhangban van a stratégiai dokumentumokkal és a munkaközösségek terveivel.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5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éves munkaterv tartalmazza a PP céljait, feladatait és részben az összevont (humán-reál, idegennyelvi-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sport )munkaközösségek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terveit a beszámolókban pedig az elért eredményeket ismerhetjük meg.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1.1.7. A környezeti nevelés, fenntartható fejlődés pedagógiai programban megfogalmazott céljai megjelennek az intézmény éves tervezésében is.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lastRenderedPageBreak/>
        <w:t>Megjegyzés</w:t>
      </w:r>
    </w:p>
    <w:p w:rsidR="007F5478" w:rsidRPr="00BE414A" w:rsidRDefault="007F5478" w:rsidP="007F5478">
      <w:pPr>
        <w:pStyle w:val="ng-binding"/>
        <w:numPr>
          <w:ilvl w:val="0"/>
          <w:numId w:val="5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környezeti nevelés, fenntartható fejlődés pedagógiai programban megfogalmazott céljai a munkatervekben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megjelennek.(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Vezetői, pedagógus interjú) Hagyományoknak megfelelően a végzős tanulók fát ültetnek.(beszámoló, bejárás)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1.2.1. Az intézmény stratégiai dokumentumai az adott időszak oktatáspolitikai céljaival összhangban készülnek.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iskola célja, hogy megőrizze a keresztény értékrendet, ugyanakkor modern iskolát szeretne építeni, mely megfelel a mai igényeknek, innovatív, világra nyitott. Egyéni teljesítményre és csoportmunkára képes, munkaerőpiacon alkalmazkodni képes, korszerű tudással rendelkező embereket szeretne képezni. PP. 15.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1.2.2. Az operatív tervezés a stratégiai célok hatékony megvalósulását szolgálja, és a dokumentumokban nyomon követhető.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intézményi célok, elvárások megfelelnek a beszámolókban lévő adatokkal kiemelve a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sportiskola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jellegéből adódó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tevékenységekre.(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sportoló-tanuló) (vezetői,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1.3.1. A stratégiai tervek megvalósítása tanévekre bontott, amelyben megjelennek a stratégiai célok aktuális elemei. (Pedagógiai program, a vezetői pályázat, a továbbképzési terv és az ötéves intézkedési terv stb. aktuális céljai, feladatai.)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stratégiai tervek megvalósítása tanévekre bontott (munkatervek) és megjelennek a stratégiai célok aktuális elemei. Speciális célok: Sportkarrier támogatása (külföldi ösztöndíj, 40 perces órák, mentorprogram),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Sportszakemberképzés.(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1.3.2. Az intézmény éves terveinek (éves munkaterv, éves intézkedési tervek, munkaközösségi tervek, a pedagógiai munka, tervezési dokumentumai stb.) gyakorlati megvalósítása a pedagógusok, a munkaközösségek és a diákönkormányzat bevonásával történik.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iskola mentorhálózatot működtet, melynek célja, hogy a kiemelt státuszú sportolók sporttevékenységét, tanulmányi előmenetelét támogassa. SZMSZ 17. A pedagógusok által alkalmazott tanulási-tanítási módszereket a munkaközösségvezetők a belső ellenőrzés keretében óralátogatásokon ismerik meg, melyeket szakmai megbeszélés követ. A gyakorlati megvalósulás a pedagógusok, és a DÖK jóváhagyásával történik, ahol meghatározzák a felelősöket, a határidőket. A tervek megvalósulását az éves beszámolókban követhetőek. (munkatervek, beszámolók)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1.3.3. Az intézmény nevelési-oktatási céljai határozzák meg a módszerek, eljárások kiválasztását, alkalmazását.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iskola célja, hogy megőrizze a keresztény értékrendet, ugyanakkor modern iskolát szeretne építeni, mely megfelel a mai igényeknek, innovatív, világra nyitott. Egyéni teljesítményre és csoportmunkára képes, munkaerőpiacon alkalmazkodni képes, korszerű tudással rendelkező embereket szeretne képezni. PP. 15. A PP-ben meghatározott célokhoz rendelik a megvalósításhoz szükséges módszereket, eljárásokat. Sportolás (edzés)-Tanulás (felzárkóztatás) támogatása. 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>1.3.4. Az intézményi pedagógiai folyamatok (például tanévre, tanulócsoportra tervezett egymásra épülő tevékenységek) a személyiség- és közösségfejlesztést, az elvárt tanulási eredmények elérését, a szülők, tanulók és munkatársak elégedettségét és a fenntartói elvárások teljesülését szolgálják.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pedagógiai folyamatok fókuszában is a sport áll. Az iskola támogatja a tehetséges sportolókat a tanórák szervezésével és mindenféle változatos módszerekkel, hogy az élsportolók be tudják hozni az tanításon kívüli, sporttal töltött időt: videók készítése tananyag feltöltése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Kétába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Moodle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rendszerbe A személyiség- és közösségfejlesztést, az elvárt tanulási eredmények elérését, a szülők, tanulók és munkatársak elégedettségét és a fenntartói elvárások teljesülését szolgálják: verseny- és érettségi felkészítés, színes közösségi, iskolán belüli és kívüli programok: kirándulás, színház, mozi, múzeumlátogatás (PP, beszámolók, pedagógus, vezetői interjú, szülői kérdőív). Az iskolai (sportnap) és az iskolán kívüli (színház-</w:t>
      </w:r>
      <w:proofErr w:type="spellStart"/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múzeumlátogatás,Baptista</w:t>
      </w:r>
      <w:proofErr w:type="spellEnd"/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Ki Mit Tud)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rendezmények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támogatják a közösségfejlesztést az intézményi pedagógiai folyamatokat. A pedagógusok szeretik az iskolájukat és elégedettek is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vele.(</w:t>
      </w:r>
      <w:proofErr w:type="spellStart"/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ped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.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1.4.1. Az éves tervek és beszámolók egymásra épülnek.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tervezés a céloknak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megfelelően ,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 nevelőtestület bevonásával és az érvényes jogszabályok előírásának figyelembevételével történik. Az éves tervek és a beszámolók egymásra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épülnek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ahol tájékozódhatunk a változásokról és a megvalósulásról. A nevelőtestület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elemzi ,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megbeszéli a beszámolók tapasztalatait és az észrevételeket, javaslatokat beépíti a következő év munkatervébe.( 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1.4.2. A tanév végi beszámoló megállapításai alapján történik a következő tanév tervezése.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tanév végi beszámoló megállapításait a nevelőtestület véleményezi, kiegészíti, jóváhagyja és az észrevételeket beépítik a következő tanév munkatervébe. (vezetői,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1.4.3. A beszámolók szempontjai illeszkednek az intézményi önértékelési rendszerhez.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intézményi önértékelés rendszer alaposan kidolgozott és pontosan működik is amihez a beszámolók szempontjai teljesen illeszkednek. (intézményi önértékelés, 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1.5.1. A pedagógus, tervező munkája során figyelembe veszi az intézménye vonatkozásában alkalmazott tantervi, tartalmi és az intézményi belső elvárásokat, valamint az általa nevelt, oktatott egyének és csoportok fejlesztési céljait.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6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pedagógusok az egyénileg elkészített tanmeneteikből dolgoznak, ahol figyelembe veszik az intézmény speciális elvárásait a csoportok fejlesztési célját. Az éves tervek és beszámolók egymásra épülnek. A tervek és a beszámolók koherensek egymással. Az SNI-is tanulók már kifutóban az iskolában, a BTMN-is tanulók fejlesztése beépítve a pedagógus órarendjébe. Az élsportolók segítése az edzésben és a tanulásban. (pedagógus, 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1.5.2. A pedagógiai munka megfelel az éves tervezésben foglaltaknak, az esetleges eltérések indokoltak.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Nincsenek eltérések, a tervekben foglaltakat sikerül megvalósítani. A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Covid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időszakában kellett változtatni a terveken a digitális oktatás miatt, ezen eltérések a beszámolókban nyomon követhetőek.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>1.5.3. A teljes pedagógiai folyamat követhető a tanmenetekben, a naplókban, valamint a tanulói produktumokban.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helyszíni bejárás alkalmával láttuk, hogy a pedagógiai folyamatok követhetőek az alábbi dokumentumokban.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1.6.1. Az intézményi stratégiai alapdokumentumok alapján az intézményben belső ellenőrzést végeznek.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ellenőrzést az intézményi ellenőrzési tervének megfelelően az igazgató és a helyettesek végzik. Az ellenőrzési tervben szerepel, hogy kit, milyen céllal, gyakorisággal és módszerekkel ellenőriznek. Az ellenőrzés eredményeit megbeszéli az érintett pedagógussal és ezeket felhasználja a pedagógus és az intézményi önértékelésben is. (beszámolók, munkatervek, 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1.6.2. Az ellenőrzési tervben szerepel, hogy ki, mit, milyen céllal, milyen gyakorisággal, milyen eszközökkel ellenőriz.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intézményi stratégiai alapdokumentumok alapján az intézményben belső ellenőrzést végeznek. Az SZMSZ (18. oldala) tartalmazza az önértékelési csoport feladatait. Az igazgató irányítja az ellenőrzési folyamatot, az óralátogatásokat a munkaközösség vezetők végzik. Az átlátszó tantermek lehetőséget teremtenek az igazgatónak és a helyetteseknek a folyamatos ellenőrzésre. (vezetői,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1.6.3. Az intézmény azonosítja az egyes feladatok eredményességének és hatékonyságának méréséhez, értékeléséhez szükséges mutatókat.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azonosítja az eredményességi mutatókat, az indikátorok alapján összeállítják a változó programokat és beépítik a dokumentumokba. (vezetői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1.6.4. A tanulási eredményeket az intézmény folyamatosan követi, elemzi, szükség esetén korrekciót hajt végre.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tanulási eredményeket az intézmény folyamatosan követi, elemzi a tapasztalatokat a munkaközösségek megbeszélik. A kompetencia eredményeket folyamatosan követik, értékelik. (vezetői,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1.6.5. Az ellenőrzések eredményeit felhasználják az intézményi önértékelésben és a pedagógusok önértékelése során is.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ellenőrzések eredményeit (tanulói érdemjegyek, kompetencia) felhasználják az intézményi önértékelésben és a pedagógusok önértékelése során is.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1.7.1. Az értékelés tények és adatok alapján, tervezetten és objektíven történik, alapját az intézményi önértékelési rendszer jelenti.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önértékelési rendszer tervezetten és objektíven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működik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amit az igazgató irányításával és nevelőtestület is támogat. Az önértékelési terv tartalmazza a pedagógusok tervezett sorrendjét. Az önértékelés dokumentumai az előírtaknak megfelelnek.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>1.7.2. Az intézményi önértékelési rendszer működését az intézmény vezetése irányítja, az önértékelési folyamatban a nevelőtestület valamennyi tagja részt vesz.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intézményi önértékelési rendszer működését az intézmény vezetése irányítja, az önértékelési folyamatban a nevelőtestület valamennyi tagja részt vesz.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1.8.1. Az intézményben folyó nevelési-oktatási munka alapjaként a tanulók adottságainak, képességeinek megismerésére vonatkozó mérési rendszer működik.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7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Speciális felvételi rendszerükkel főleg a sportági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alkalmasságot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vizsgálják a tanulási eredmények mellett. 9.nyelvi felmérők készítése, összevetése a 9. osztályos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eredményekkel.(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pedagógus, 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1.8.2. A tanulók értékelése az intézmény alapdokumentumaiban megfogalmazott/elfogadott, közös alapelvek és követelmények (értékelési rendszer) alapján történik.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visszajelzés történhet szóban és írásban. Szóbeli: felelet, beszámoló, kiselőadás, vizsga, órai munka. Írásbeli: feladatlap, esszé, házidolgozat, projektmunka, röpdolgozat, témazáró dolgozat, órai munka, házi feladat, vizsga. A feleltetés és a dolgozatírás nem fegyelmező eszköz. PP. 96. Az osztályozás minden tantárgyból hagyományos érdemjegyekkel történik. A témazáró dolgozatok értékelése egységesen történik. Százalékos formáját a PP. tartalmazza. A tanítás-tanulás folyamatban a tanulói megnyilatkozások dicsérete, elmarasztalása, a tanár biztatása stb. mind-mind az értékelés része. 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1.8.3. A pedagógusok az alkalmazott pedagógiai ellenőrzési és értékelési rendszert és módszereket, azok szempontjait az általuk megkezdett nevelési-oktatási folyamat elején megismertetik a tanulókkal és a szülőkkel.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beszámoltatás formáinak, módszereinek részletes szabályozását a tanulói csoportokkal megbeszélve a tanárok alakítják ki a csoportok és tantárgyuk egyedi jellemzőihez igazodva, melyekről a szülők is kapnak tájékoztatást szülői értekezleteken, fogadó órákon. A tájékoztatás elsősorban az osztályfőnök feladata. PP. SZMSZ. PP. Az érdemjegyek tartama a pedagógiai programban részletesen szabályozott, világos.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1.8.4. Az intézményben a tanulói teljesítményeket folyamatosan követik, a tanulói teljesítményeket dokumentálják, elemzik, és az egyes évek értékelési eredményeit összekapcsolják, szükség esetén fejlesztési tervet készítenek.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tanulói értékelés formáit a pp tartalmazza. A tantárgyi átlagok és az érettségi eredmények szerepelnek a beszámolókban. A kompetenciamérések eredményei nem térnek el szignifikánsan az átlagtól. Az eredményeket elemzik, próbálják szinten tartani.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1.8.5. A tanuló eredményeiről fejlesztő céllal folyamatosan visszacsatolnak a tanulónak és szüleinek/gondviselőjének.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tanuló az eredményeiről folyamatos visszajelzéseket kap (kréta), az év végi osztályzatokról a bizonyítványban adnak tájékoztatást, a szülői kapcsolattartást pedig a PP. határozza meg. (Szülői értekezlet, fogadóóra, Facebook)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>1.9.1. Az intézmény stratégiai és operatív dokumentumainak elkészítése, módosítása során megtörténik az ellenőrzések során feltárt információk felhasználása.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munkaközösségvezetők feladatai közé tartozik a tanulók ismeretszintjének folyamatos ellenőrzésében, mérésében, való részvétel (kompetencia mérés, osztályozó, különbözeti és javító vizsgák, szakmai vizsgák tervezése és lebonyolítása. A kompetencia mérés eredményei nem különböznek szignifikánsan az adott értéktől. (FIT jelentés. SZMSZ 16)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1.9.2. Évente megtörténik az önértékelés keretében a mérési eredmények elemzése, a tanulságok levonása, fejlesztések meghatározása, és az intézmény a mérési-értékelési eredmények függvényében korrekciót végez szükség esetén.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sajátos nevelési igényű (SNI) tanulók száma egyre nő. Itt a nehézséget az okozza, hogy a sajátos nevelési igényű tanulók fejlesztése nagyobb szakmai felkészültséget igényel, mint amit az átlagos képzésben a tanárok eddig meg tudtak szerezni. Az iskola pedagógiai programjában úgy véli, hogy az iskola feladata felkészíteni pedagógusait az SNI tanulók fogadására. PP.42. a szaktanárnak együtt kell működnie a szakemberekkel, a pedagógus feladata a helyzetnek megfelelő alternatívák keresése, egyéni fejlesztési terv készítése.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1.9.3. Az intézmény a nevelési és tanulási eredményességről szóló információk alapján felülvizsgálja a stratégiai és operatív terveit, különös tekintettel a kiemelt figyelmet igénylő tanulók ellátására.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kiemelt figyelmet igényló tanulókkal való módszereket PP: határozza meg. SNI-is tanulókat már nem vesznek fel a sport miatt, a BTMN-es tanulókkal való foglalkozás bele van építve a pedagógus órarendjébe.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1.9.4. A problémák megoldására alkalmas módszerek, jó gyakorlatok gyűjtése, segítő belső (ötletek, egyéni erősségek) és külső erőforrások (például pályázati lehetőségek) és szakmai támogatások feltérképezése és bevonása természetes gyakorlata az intézménynek.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pedagógusok egy része nyitott az innovációra, a szakmai továbbképzésekre, jó gyakorlatok átadásával, a külső erőforrások bevonásával segítik az eredményes intézményi munkát, de az egyre nagyobb leterhelések következtében jelentősen csökken ez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tendencia.(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2.1.1. A beszámolókban és az intézményi önértékelésben követhetők az eredmények (különös tekintettel az osztályfőnökök tevékenységére, a diák-önkormányzati munkára, az egyéni fejlesztésre).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osztályfőnök tájékoztatja a tanulóit a kitűzött célokról, feladatokról, a pedagógusokat az osztály szociális, tanulmányi, magatartás és szorgalmi eredményéről, a szülőket pedig a gyerekük tanulmányi, magatartási és más aktuális információkról. A Diákönkormányzat is sok programot szervez tanári segítséggel: helyi szalagavató (diákok sok munkája fekszik benne), mozi, színház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, ,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kirándulások, táborok, gólya avató, iskola nap. (Éves beszámoló, pedagógus interjú.)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2.1.2. Támogató szervezeti és tanulási kultúra jellemzi az iskolát.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8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nevelőtestület és a vezetőség támogatja az a diákok közösségfejlesztő tevékenységeit. (múzeum-és színházlátogatás,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gólyatábor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, DÖK-nap, sportnap, sítábor.) Önismereti játékok, tréningek, tanulmányi </w:t>
      </w:r>
      <w:r w:rsidRPr="00BE414A">
        <w:rPr>
          <w:rFonts w:ascii="Gill Sans MT" w:hAnsi="Gill Sans MT" w:cs="Helvetica"/>
          <w:color w:val="555555"/>
          <w:sz w:val="21"/>
          <w:szCs w:val="21"/>
        </w:rPr>
        <w:lastRenderedPageBreak/>
        <w:t>és sportversenyek, kooperatív tanulás, csoportmunka, tanár-diák beszélgetések, diákönkormányzat munkájának segítése, ismeretterjesztő előadások, egészségnevelő programok. (Vezetői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2.1.3. A tanulók személyes és szociális képességeik felmérésére alkalmas módszereket, eszközöket, technikákat alkalmaznak a pedagógusok az intézményben.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pedagógusok a tanulókkal napi kapcsolatot alakítottak ki, a mérkőzésükre járnak, tudomásuk van a napi tanulmányi és sporttevékenységükről. Osztályfőnökök gyűjtik a fő információkat, ezen felül mentorhálózat működtetnek.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2.2.1. A pedagógusok módszertani kultúrája kiterjed a tanulók személyes és szociális képességeinek fejlesztésére, és ez irányú módszertani tudásukat megosztják egymással.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tanári kar egy része rendelkezik olyan magasszintű módszertani kultúrával, hogy fejleszteni tudják a rászoruló tanulókat. A pedagógusok módszertani kultúrája kiterjed a tanulók személyes és szociális képességeinek fejlesztésére, vagy a szakemberek segítségét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kérik.(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2.2.2. A fejlesztés eredményét folyamatosan nyomon követik, s ha szükséges, fejlesztési korrekciókat hajtanak végre.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fejlesztés eredményét folyamatosan nyomon követik, megbeszélik, ha szükséges korrekciót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végeznek.(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2.2.3. A fejlesztés megvalósulása nyomon követhető az intézmény dokumentumaiban, a mindennapi gyakorlatban (tanórai és tanórán kívüli tevékenységek), DÖK programokban.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beszámolókban a tevékenységek az eredmények megtalálhatók. (beszámolók) (érettségire felkészítés, drogprevenció, ingyenes tankönyv, sportkör, iskolai rendezvények, színház, múzeumlátogatás, drogprevenció, mentálhigiéniás programok, pályaorientációs tevékenység, ingyenes művelődési lehetőség, pályaorientációs tevékenység, ingyenes tankönyvellátás. PP. 31.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2.3.1. A kiemelt figyelmet igénylő tanulók mindegyikénél rendelkeznek a pedagógusok megfelelő információkkal, és alkalmazzák azokat a nevelő, fejlesztő és oktató munkájukban.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kiemelt figyelmet igénylő tanulókkal való bánásmódot, a hátrányok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enyhitésének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feladatait, a PP és az SZMSZ is tartalmazza."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SNI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-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ist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már nem veszünk fel, BTMN-est a fejlesztő a szomszédból segíti, a tantárgyi korrepetálást nehéz az iskolában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megvalósítani.(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2.3.2. Az intézmény vezetése és érintett pedagógusa információkkal rendelkezik minden tanuló szociális helyzetéről.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szakemberek (fejlesztő, osztályfőnök, pszichológus,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ifjúságvédelmis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) tájékoztatják az érintetteket a tanuló szociális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helyzetéről.(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2.3.3. Az intézmény támogató rendszert működtet: Felzárkóztatást célzó egyéni foglalkozást szervez. Integrációs oktatási módszereket fejleszt, és ezt be is vezeti. Képzési, oktatási programokat, modelleket </w:t>
      </w:r>
      <w:proofErr w:type="spellStart"/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>dolgoz</w:t>
      </w:r>
      <w:proofErr w:type="spellEnd"/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 ki vagy át, és működteti is ezeket. Célzott programokat tár fel. Kapcsolatot tart fenn valamely szakmai támogató hálózattal. Stb.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Csoportos és egyéni felzárkóztató foglalkozásokat szerveznek az intézményben és online formában is. (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moodle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rendszer, facebookon, </w:t>
      </w:r>
      <w:proofErr w:type="spellStart"/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youtuben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)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pedagógus, 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2.4.1. Az önálló tanulás támogatása érdekében az intézmény pedagógiai programjával összhangban történik a nevelési-oktatási módszerek, eljárások kiválasztása vagy kidolgozása, és azok bevezetésének megtervezése.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sportolók tanulmányi lemaradásukat (edzőtábor, sérülések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stb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) önálló (online) tanulási módszerekkel segítik. A kiemelt figyelmet érdemlő gyerekek kiemelt bánásmódot kapnak, valamint szakkörök, versenyek, változatos értékelési formák, felzárkóztató foglalkozások, differenciált foglalkozások, egyéni foglalkozások, páros munka, csoportmunka, könyvtárban tartott foglalkozások segítik a nevelési-oktatási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munkált.(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PP. SZMSZ, vezetői, pedagógus 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2.4.2. Az </w:t>
      </w:r>
      <w:proofErr w:type="spellStart"/>
      <w:r w:rsidRPr="00BE414A">
        <w:rPr>
          <w:rFonts w:ascii="Gill Sans MT" w:hAnsi="Gill Sans MT" w:cs="Helvetica"/>
          <w:color w:val="333333"/>
          <w:sz w:val="21"/>
          <w:szCs w:val="21"/>
        </w:rPr>
        <w:t>alulteljesítő</w:t>
      </w:r>
      <w:proofErr w:type="spellEnd"/>
      <w:r w:rsidRPr="00BE414A">
        <w:rPr>
          <w:rFonts w:ascii="Gill Sans MT" w:hAnsi="Gill Sans MT" w:cs="Helvetica"/>
          <w:color w:val="333333"/>
          <w:sz w:val="21"/>
          <w:szCs w:val="21"/>
        </w:rPr>
        <w:t>, tanulási nehézségekkel küzdő és sajátos nevelési igényű tanulók megkülönböztetett figyelmet kapnak.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Egyénre szabott feladatokkal, differenciált foglalkozásokkal végzik a pedagógusok 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felzárkóztatást.(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2.4.3. A pedagógusok az önálló tanuláshoz szakszerű útmutatást és megfelelő tanulási eszközöket biztosítanak, alkalmazva a tanulás tanítása módszertanát.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9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pedagógusai a sportoló tanulókkal nagyon nyitottak, toleránsak, empatikusak és szakszerű útmutatást adnak az önálló tanuláshoz változatos tanulási eszközökkel biztosítják a sportélet mellet a tanulási lehetőséget. (vezetői, pedagógus interjú),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2.5.1. Az egészséges és környezettudatos életmódra nevelés elmélete és gyakorlata a pedagógiai programban előírtak szerint a munkatervben szerepel, a beszámolókból követhető.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egészséges és környezettudatos életmódra nevelés elmélete és gyakorlata a pedagógiai programban előírtak szerint a munkatervben szerepel, a beszámolókból követhető. A pedagógusok a közismereti tantárgyaikkal, (kémia, biológia), a sportiskolások a sportági tantárgyaikkal, (sportegészségtan) járulnak hozzá az egészséges életmódra nevelés elméletéhez. Gyakorlatban a testnevelési órák és az edzések az alkohol és a drogmentesség jelenti az egészséges életmódot alkalmazását.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2.5.2. A tanórán kívüli tevékenységek alkalmával a tanulók a gyakorlatban alkalmazzák a téma elemeit.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teljeskörű egészségfejlesztéssel kapcsolatos feladatokat a pp. tartalmazza.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2.5.3. Az intézményben a tanulóknak lehetőségük van arra, hogy nemcsak tanórákon, hanem egyéb nem tanórai keretek között is foglalkozhassanak a fenntartható fejlődés kérdéseivel.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lastRenderedPageBreak/>
        <w:t xml:space="preserve">Az intézményben a tanulóknak lehetőségük van arra, hogy nemcsak tanórákon, hanem egyéb nem tanórai keretek között is foglalkozhassanak a fenntartható fejlődés kérdéseivel. A fenntarthatóság lehetőségeit és megvalósulását a stratégiai dokumentumok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tartalmazzák.(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PP, SZMSZ, munkatervek, beszámolók)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2.6.1. A stratégiai programokban és az operatív tervekben szereplő közösségfejlesztési feladatokat megvalósítja az intézmény.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PP. részletesen tartalmazza a közösségfejlesztés feladatait, formáit. Az intézményben gazdag közösségfejlesztő programokat valósítanak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meg.(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sítábor, sportnapok, gólyabál,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vizitábor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stb.)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2.6.2. A pedagógusok rendelkeznek a közösségfejlesztés folyamatának ismeretével, és az alapján valósítják meg a rájuk bízott tanulócsoportok, közösségek fejlesztését.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Színvonalas közösségi programok szervezésével támogatják a pedagógusok a közösségfejlesztést: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gólyatábor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, sportnap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félévente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, külső helyszínen és bent, táborok: vízi- sí-, kerékpártúra, vándortábor, múzeum, színház, osztálykirándulás, tiszteletjegyek sporteseményekre.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2.6.3. A beszámolókból követhetők az alapelvek és a feladatok megvalósításának eredményei, különös tekintettel az osztályfőnökök, a diákönkormányzat tevékenységére, az intézményi hagyományok ápolására, a támogató szervezeti kultúrára.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osztályfőnök feladata a tanulók közvetlen megismerése, az osztályközösség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arculatának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formázása. A diákönkormányzat programokat szervez, jutalmakra ajánlatot tehet, tanulói jogkör gyakorlása. Az osztályfőnök feladatait az SZMSZ és a PP. is tartalmazza.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2.6.4. Az intézmény gondoskodik és támogatja a pedagógusok, valamint a tanulók közötti folyamatos információcserét és együttműködést.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intézményi kommunikáció többirányú. A pedagógusok közötti, a pedagógus-tanuló és a tanuló- tanuló közötti információáramlás is folyamatos különböző csatornákon. (pedagógus, vezetői interjú) A DÖK-tagok aktív közéleti tevékenységet folytatnak, képviselik a jogaikat, javaslatokat tesznek az iskolai életre vonatkozó témákban, s részt vesznek a hagyományos diákélet programjainak megszervezésében is. interjúk.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2.7.1. Közösségi programokat szervez az intézmény.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közösségépítő programokat a munkatervekben megtaláljuk, megvalósulásukat a beszámolók </w:t>
      </w:r>
      <w:proofErr w:type="spellStart"/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trtalmazzák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színház-és mozilátogatások, sportnapok, sí-és vízi táborok, gólyabál,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szallagavató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kirándulások,stb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2.7.2. Közösségi programokat szervez a diákönkormányzat.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DÖK napot ebben az évben először önállóan rendezte a DÖK. Ezen felül szervezte a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gólyaavatást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, különböző programokat, mint pl. showt szerveztek: sportolók (lábtenisz sportnapon) sütöttek sütit, sportszázadtól magasrangú tisztet hívtak vendégül.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2.7.3. A szülők a megfelelő kereteken belül részt vesznek a közösségfejlesztésben.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0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lastRenderedPageBreak/>
        <w:t>"A szülők bevonása nehéz az iskolai tevékenységekbe." Az iskola fejleszteni szeretné a szülők bevonását az iskolai életbe. (vezetői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2.7.4. Bevonják a tanulókat, a szülőket és az intézmény dolgozóit a szervezeti és tanulási kultúrát fejlesztő intézkedések meghozatalába.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Bevonják a tanulókat, a szülőket és az intézmény dolgozóit a szervezeti és tanulási kultúrát fejlesztő intézkedések meghozatalába a meghatározott szabályok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szerint.(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SZMSZ, 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2.7.5. A részvétellel, az intézmény működésébe való </w:t>
      </w:r>
      <w:proofErr w:type="spellStart"/>
      <w:r w:rsidRPr="00BE414A">
        <w:rPr>
          <w:rFonts w:ascii="Gill Sans MT" w:hAnsi="Gill Sans MT" w:cs="Helvetica"/>
          <w:color w:val="333333"/>
          <w:sz w:val="21"/>
          <w:szCs w:val="21"/>
        </w:rPr>
        <w:t>bevonódással</w:t>
      </w:r>
      <w:proofErr w:type="spellEnd"/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 és a diákok önszerveződésének lehetőségeivel a tanulók és a szülők elégedettek.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Mivel szülői interjú nem volt, de az önértékelési kérdőívekből kiderül a szülői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elégedettség.(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szülői kérdőív) A vezetőség nyitott a diákok, a pedagógusok és a szülők ötleteire, észrevételeire az intézmény fejlődésének érdekében.(vezetői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3.1.1. Az intézmény pedagógiai programjának egyik prioritása a tanulás-tanítás eredményessége.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prioritása a sportiskolai képzés, a sportolói életpálya megismertetése, sportszakemberek (szakedző, testnevelő-,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gyógytestnevelőképzésére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, való felkészítés.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3.1.2. Az intézmény partnereinek bevonásával történik meg az intézményi működés szempontjából kulcsfontosságú sikertényező indikátorok azonosítása.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szülők bevonása nyomon követhető az intézményi működésben, de a külső partnerek egyeztetése részben elmarad a működést befolyásoló kérdésekben. (vezetői, pedagógus interjúk) A fenntartó nem értesül mindig az iskolai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eredményekről.(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3.1.3. Nyilvántartják és elemzik az intézményi eredményeket: kompetenciamérések eredményei, tanév végi eredmények – tantárgyra, 2 évre vonatkozóan, versenyeredmények: országos szint, megyei szint, tankerületi szint, települési szint, érettségi vizsga eredmények, egyéb vizsgaeredmények, továbbtanulási mutatók, elismerések, lemorzsolódási mutatók (évismétlők, magántanulók, kimaradók, lemaradók), elégedettségmérés eredményei (szülő, pedagógus, tanuló), neveltségi </w:t>
      </w:r>
      <w:proofErr w:type="gramStart"/>
      <w:r w:rsidRPr="00BE414A">
        <w:rPr>
          <w:rFonts w:ascii="Gill Sans MT" w:hAnsi="Gill Sans MT" w:cs="Helvetica"/>
          <w:color w:val="333333"/>
          <w:sz w:val="21"/>
          <w:szCs w:val="21"/>
        </w:rPr>
        <w:t>mutatók,</w:t>
      </w:r>
      <w:proofErr w:type="gramEnd"/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 stb.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kompetencia eredményeit feltöltik az informatikai felületre és elemzik. Nem minden év kompetenciamérés eredményei szerepelnek még a felületen. (2022.) A sport-és 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versenyeredmények ,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vizsgaeredmények, továbbtanulás, lemorzsolódás adatai láthatók de az elemzésük nem mindig valósul meg.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3.1.4. Az országos kompetenciamérésen az intézmény tanulóinak teljesítményszintje évek óta (a háttérváltozók figyelembevételével) emelkedik/a jó eredményt megtartják.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kompetencia mérés eredményei nem különböznek szignifikánsan az adott értéktől. FIT jelentés.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3.2.1. Az intézmény kiemelt nevelési céljaihoz kapcsolódó eredmények alakulása az elvártaknak megfelelő.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eredmények alakulása az elvárnak megfelelő. A sportban nyújtott eredmények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kiemelkedőek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 xml:space="preserve">3.2.2. Az intézmény nevelési és oktatási célrendszeréhez kapcsolódóan kiemelt tárgyak oktatása eredményes, amely mérhető módon is dokumentálható (az emelt- és középszintű érettségi tantárgyak aránya, eredményei, versenyeredmények, felvételi </w:t>
      </w:r>
      <w:proofErr w:type="gramStart"/>
      <w:r w:rsidRPr="00BE414A">
        <w:rPr>
          <w:rFonts w:ascii="Gill Sans MT" w:hAnsi="Gill Sans MT" w:cs="Helvetica"/>
          <w:color w:val="333333"/>
          <w:sz w:val="21"/>
          <w:szCs w:val="21"/>
        </w:rPr>
        <w:t>eredmények,</w:t>
      </w:r>
      <w:proofErr w:type="gramEnd"/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 stb.).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testnevelés és a sport oktatása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kiemelkedő.(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testnevelés érettségi 10-15 fő évente, nemzetközi sportsikerek). A nevelőtestület jelentős része és a jól működő mentorhálózat járul hozzá a sikeres oktatáshoz.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3.2.3. Az eredmények eléréséhez a munkatársak nagy többsége hozzájárul.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iskola mentorhálózatot működtet, melynek célja, hogy a kiemelt státuszú sportolók sporttevékenységét, tanulmányi előmenetelét támogassa. SZMSZ 17. Az iskola eredményességét biztosítják a felkészült pedagógusok.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3.2.4. Az intézmény rendelkezik valamilyen külső elismeréssel.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1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közoktatási típusú sportiskolák közötti országos rangsorban (Sportiskolák Országos Szövetsége) első helyen végzett. A kadétprogramban szereplő diákok rendszeresen sikeresen szerepelnek az országos haditornán. (vezetői interjú) Számos szóbeli elismeréseket kapott a külső partnerektől.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3.3.1. Az intézmény vezetése gondoskodik a tanulási eredményességről szóló információk belső nyilvánosságáról.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beszámolókban megtalálható a mérési eredmények, nevelőtestületi értekezleteken megtárgyalják.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3.3.2. Az eredmények elemzése és a szükséges szakmai tanulságok levonása és visszacsatolása tantestületi feladat.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munkaközösségek megbeszélik az eredményeket az értekezleteken, a tapasztalatokat levonják a visszacsatolást a nevelőtestület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végzi.(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3.3.3. A belső és külső mérési eredmények felhasználásra kerülnek az intézményi önértékelés eljárásában.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belső és külső mérési eredmények felhasználásra kerülnek az intézményi önértékelés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eljárásában.(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önértékelési dokumentumok)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3.4.1. A tanulókövetésnek kialakult rendje, eljárása van.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Hivatalosan jelenteni kell a továbbtanulás eredményét a törvényes módon. A sportolók néhányan rendszeresen visszajönnek az iskolába és beszámolnak a pályafutásukról, a többieket facebookon,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messengeren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>, telefonon követik.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3.4.2. A tanulók további eredményeit felhasználja a pedagógiai munka fejlesztésére.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pedagógiai munka fejlesztéséhez felhasználják az eredményeket. 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>4.1.1. Az intézményben a különböző szakmai pedagóguscsoportok együttműködése jellemző, (szakmai) munkaközösségek, egy osztályban tanító pedagógusok közössége.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intézményben működő munkaközösségek: humán, reál, idegennyelvi, sport. SZMSZ. Az SZMSZ-ben említett munkaközösségek a tantestület csekély létszáma miatt nem tudtak működni. 2 munkaközösség létezik: természettudományi, társadalomtudományi. Az egy osztályban tanító pedagógusok közösségének munkája hatékony. Az intézmény erőssége a magas szintű szakmai tudás, elhivatott pedagógusok. (pedagógus, vezetői interjú).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4.1.2. A pedagógusok szakmai csoportjai maguk alakítják ki működési körüket, önálló munkaterv szerint dolgoznak. A munkatervüket az intézményi célok figyelembevételével határozzák meg.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nevelő-oktató munka érdekében a pedagógusok tervszerűen működő egymást segítő közösségeket (munkaközösség) hoztak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létre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aminek működését az SZMSZ szabályoz.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4.1.3. A szakmai közösségek vezetőinek hatás- és jogköre tisztázott.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pedagógiai program és az SZMSZ tartalmazza, hogy kinek, milyen jogköre van, tartalmazza a vezetők és munkaközösségvezetők feladatait.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4.1.4. Csoportok közötti együttműködésre is sor kerül az intézményben, amely tervezett és szervezett formában zajlik.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értekezlet előtt az intézményvezető tájékoztatja a nevelőtestületet a napirendi pontokról. Az értekezletekről jegyzőkönyv készül, amelynek egy példányát az intézmény vezetője eljuttat a fenntartónak. Megbeszéléseken, fórumokon tanári kiránduláson kevésbé hivatalos formában is megbeszélik a problémákat. (vezetői és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4.1.5. Az intézmény vezetése támogatja, ösztönzi az intézményen belüli együttműködéseket, és az intézmény céljainak elérése érdekében támaszkodik a munkájukra.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2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vezetése támogatja, ösztönzi az intézményen belüli együttműködéseket, a jó ötleteket tolmácsolja a fenntartó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felé.(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4.1.6. A munkaközösségek bevonásával történik a pedagógiai folyamatok megvalósításának ellenőrzése, értékelése.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ellenőrzés rendjét szabályozzák, ellenőrzési tervet készítenek. A vezetőség, illetve a néhány pedagógus gyakorlata egymás óráinak meglátogatása, a bevált módszereket megosztják egymással. Az értekezleteken, fórumokon értékelésre kerülnek. (vezetői és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4.1.7. A tanulók nevelése-oktatása érdekében a szakmai közösségek tevékenységén túl a pedagógusok kezdeményezően együttműködnek egymással és a pedagógiai munkát segítő szakemberekkel a felmerülő problémák megoldásában.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lastRenderedPageBreak/>
        <w:t>A pedagógusok kezdeményezően együttműködnek egymással. Az adott probléma megoldása érdekében kommunikálnak egymással, bevonják a pszichológust, fejlesztő pedagógust. (Interjúk)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4.2.1. Az intézményben magas színvonalú a szervezeti kultúra és a szakmai műhelymunka.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szervezeti kultúra magas szintű, a stratégiai dokumentumokban megfogalmazott alapelvekkel a pedagógusok azonosulnak, munkájukat az igényesség jellemzi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4.2.2. Az intézményben rendszeres, szervezett a belső továbbképzés, a jó gyakorlatok ismertetése, támogatása.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intézményben a belső továbbképzések nem rendszeresek, a pedagógusok egy része szívesen ossza meg jó gyakorlatát másokkal, az innovációtól nem zárkóznak el, ha </w:t>
      </w:r>
      <w:proofErr w:type="spellStart"/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kell,de</w:t>
      </w:r>
      <w:proofErr w:type="spellEnd"/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ez egy konzervatív iskola sok alapító és kevés elvándorló pedagógussal.(vezetői,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4.2.3. A belső tudásmegosztás működtetésében a munkaközösségek komoly feladatot vállalnak.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csekély pedagógus létszám miatt a munkaközösség a belső tudásmegosztásban jelentős szerepet nem tud betölteni, csak alkalmi feladatokra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képes.(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4.3.1. Kétirányú információáramlást támogató kommunikációs rendszert (eljárásrendet) alakítottak ki.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Megvalósult a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kétirányú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információáramlást támogató kommunikációs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rendszert .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Értekezletek, (negyedév, félév, év vége, aktuális, spontán), faliújság, nem hivatalos információs csatornák(facebook). Az igazgató ajtaja mindig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nyítva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áll mind a pedagógusok, mind a szülők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előtt.(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4.3.2. Az intézményben rendszeres, szervezett és hatékony az információáramlás és a kommunikáció.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munkatársai a munkájukhoz tartozó információkról tudomást szereznek, és a szülők felé is megfelelő a kommunikáció: e-mail, faliújság, KRÉTA rendszer. (önértékelés, 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4.3.3. Az intézmény él az információátadás szóbeli, digitális és papíralapú eszközeivel.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több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komunikációs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csatornát is használ. (honlap, faliújság, értekezletek, kréta rendszer, e-mail, szórólapok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stb.(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vezetői, 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4.3.4. Az intézmény munkatársai számára biztosított a munkájukhoz szükséges információkhoz és ismeretekhez való hozzáférés.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munkatársai számára biztosított E-mail, faliújság, rövid szüneti értekezletek, havi értekezletek, megbeszélések a kis tanáriban. A pedagógus interjú alapján biztosított.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4.3.6. A munka értékelésével és elismerésével kapcsolatos információk szóban vagy írásban folyamatosan eljutnak a munkatársakhoz.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3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munka értékelésével és elismerésével kapcsolatos információk eljutnak a pedagógusokhoz. (pedagógus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>5.2.2. Az intézmény terveinek elkészítése során megtörténik az érintett külső partnerekkel való egyeztetés.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terveinek elkészítése során megtörténik az fontosabb külső partnerekkel való egyeztetés (védőnő, szakszolgálat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) ,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de a sportági partnerekkel nem minden esetben.(sportegyesületek) (vezetői interjú) Egyébiránt a jogszabályoknak megfelelően megtörténik. (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SZMSZ )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Az iskola figyeli a külső elvárásokat, próbál alkalmazkodni hozzájuk.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5.2.3. Rendszeresen megtörténik a kiemelt kulcsfontosságú partnerek igényeinek, elégedettségének megismerése.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fenntartóval folyamatos a kapcsolattartás, a szülőkkel a meghatározott fórumokon, néhány partnerrel napi kapcsolatban, de a többi partnerrel csak távoli kapcsolatok kialakítására került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sor.(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5.2.4. Rendszeres, kidolgozott és követhető az intézmény panaszkezelése.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panaszkezelés írásban nem rögzített. A szülői tájékoztatón hangzik el.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5.3.1. Az intézmény vezetése a jogszabályban előírt módon eleget tesz tájékoztatási kötelezettségeinek.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vezetése a jogszabályban előírt módon eleget tesz tájékoztatási kötelezettségeinek. A honlapon a partnerek felé a szülőknek Krétán keresztül ad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tájékoztatást.(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5.3.2. Az intézmény a helyben szokásos módon tájékoztatja külső partereit (az információátadás szóbeli, digitális vagy papíralapú).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a helyben szokásos módon tájékoztatja külső partereit, melynek formái: Szülői értekezletek, rendszeres időközönként tartott fogadóórák. Az SZMSZ-ben, PP-ben, e-mailben, honlapon vagy előszóban megtörténik a tájékoztatás.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5.3.3. A partnerek tájékoztatását és véleményezési lehetőségeinek biztosítását folyamatosan felülvizsgálják, visszacsatolják és fejlesztik.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partnerek tájékoztatását és véleményezési lehetőségeinek biztosítását folyamatosan felülvizsgálják, visszacsatolják és fejlesztik. A szülőknek és más külső partnereknek lehetőségük van az iskola meghirdetett tevékenységeibe való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bekapcsolódásra.(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interjúk.)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5.4.1. Az intézmény részt vesz a különböző társadalmi, szakmai szervezetek munkájában és a helyi közéletben.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részt vesz a különböző társadalmi, szakmai szervezetek munkájában (TE együttműködési megállapodás. Pécsi TE, Egrivel is törekszik a kialakításra) és a helyi közéletben. Bűnmegelőzési program, veszélyeztetett gyerekek önkormányzati támogatása, kerületi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sportrendezvények,(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5.4.2. Az intézmény megszervezi a tanulók számára a közösségi szolgálatot.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lastRenderedPageBreak/>
        <w:t>Az intézmény megszervezi a tanulók számára a közösségi szolgálatot és pedagógiai program szerint dokumentálja az elektronikus naplóban. (pp)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5.4.3. A pedagógusok és a tanulók részt vesznek a különböző helyi/regionális rendezvényeken.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nevelők fontos feladatuknak tartják, hogy az iskola – eddigi hagyományaihoz híven – képviseltesse magát a különféle kerületi rendezvényeken, a tanulók számára szervezett megmozdulások szervezésében, lebonyolításában maga is részt vesz.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5.4.4. Az intézmény kiemelkedő szakmai és közéleti tevékenységét elismerik különböző helyi díjakkal, illetve az ezekre történő jelölésekkel.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4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iskola szakmai és közéleti tevékenységét a külső partnerek elismerik, kerületi szinten oda-vissza elismerik egymás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munkáját.(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5.4.5. Az intézmény a fenntartható fejlődés pedagógiájának megvalósítása érdekében együttműködik más intézményekkel, szervezetekkel is, támogatja a pedagógusok és tanulók részvételét olyan projektekben, amelyek erősítik a résztvevőkben a fenntartható fejlődés szemléletmódját.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támogatja a pedagógusok és tanulók részvételét olyan projektekben, amelyek erősítik a résztvevőkben a fenntartható fejlődés szemléletmódját. A környezeti nevelés színtereit eredményeit a beszámolók tartalmazzák, a fenntartható fejlődést inkább a személyes példaadással segítik az intézmény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munkatársai.(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6.1.1. Az intézmény rendszeresen felméri a pedagógiai program megvalósításához szükséges infrastruktúra meglétét, jelzi a hiányokat a fenntartó felé.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rendszeresen felméri a pedagógiai program megvalósításához szükséges infrastruktúra meglétét, melyet rendszeresen jeleznek az év végi beszámolók és a munkatervek is. A fenntartótól kapnak segítséget a megvalósításhoz. (intézmény bejárása)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6.1.2. Az intézmény rendelkezik a belső infrastruktúra fejlesztésére vonatkozó intézkedési tervvel, amely figyelembe veszi az intézmény képzési struktúráját, a nevelőmunka feltételeit és pedagógiai céljait.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beszámolókban, munkatervekben jelennek meg az igények. Alulról jövő innováció mindig kap támogatást. Az intézményi létszám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kinőtte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 mai épületet és ezért átköltöznek egy számukra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kedvezőbbe.(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6.1.3. Az intézmény a fenntartható fejlődés szempontjait szem előtt tartva, az erőforrások tudatos, takarékos felhasználására törekszik, amellyel jó példát mutat a tanulók, a szülők és a külső partnerek felé.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a fenntartható fejlődés szempontjait szem előtt tartva, az erőforrások tudatos, takarékos felhasználására törekszik, amellyel jó példát mutat a tanulók, a szülők és a külső partnerek felé. A munkatársak személyes példát mutatnak a külső partnerek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felé.(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6.2.1. Az intézmény rendelkezik rendszeres igényfelmérésen alapuló intézkedési tervvel.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rendelkezik rendszeres igényfelmérésen alapuló intézkedési tervvel.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lastRenderedPageBreak/>
        <w:t>6.2.2. Arra törekszik, hogy az intézkedési tervnek megfelelő fejlesztés megtörténjen, és ehhez rendelkezésre állnak a megfelelő tárgyi eszközök.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vezetése támogatja az innovációt és a fenntartó is partner ebben. Rendelkezésre állnak a megfelelő tárgyi eszközök: sport, digitális eszközök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legfőképpen.(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6.3.1. Az intézmény az IKT-eszközeit rendszeresen alkalmazza a nevelő-oktató munkájában, az eszközök kihasználtsága, tanórán való alkalmazásuk nyomon követhető.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IKT eszközök rendelkezésre állnak, jó a kihasználtságuk, ezeket folyamatosan használják (táblák, tabletek,3D-s megoldások), ha kérik megkapják az új eszközöket (pl.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polár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órák). (vezetői interjú) Az eszközhasználat főleg a sporttal kapcsolatosan történik.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6.4.1. Az intézmény rendszeresen felméri a szükségleteket, reális képpel rendelkezik a nevelő-oktató munka humánerőforrás-szükségletéről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rendszeresen felméri a szükségleteket, reális képpel rendelkezik a nevelő-oktató munka humánerőforrás-szükségletéről. A beszámolókban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rögziti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 tényeket, hiány miatt a fenntartóhoz fordul.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6.4.2. A humánerőforrás szükségletben bekövetkező hiányt, a felmerült problémákat idejében jelzi a fenntartó számára.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szükségleteket az igazgató többször és időben jelzi a fenntartónak. (munkaterv, beszámoló).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6.4.3. A pedagógiai munka megszervezésében, a feladatok elosztásában a szakértelem és az egyenletes terhelés kiemelt hangsúlyt kap.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5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pedagógiai munka megszervezésében, a feladatok elosztásában a szakértelem és az egyenletes terhelés kiemelt hangsúlyt kap, bár néha a betegségek, távollétek átírják a terveket.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6.4.4. A pedagógusok végzettsége, képzettsége megfelel a nevelő, oktató munka feltételeinek, az intézmény deklarált céljainak.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intézményvezető törekszik a humánerőforrás biztosítására. (Vezetői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6.4.5. Az intézmény pedagógus-továbbképzési programját az intézményi célok és szükségletek, az egyéni életpálya </w:t>
      </w:r>
      <w:proofErr w:type="gramStart"/>
      <w:r w:rsidRPr="00BE414A">
        <w:rPr>
          <w:rFonts w:ascii="Gill Sans MT" w:hAnsi="Gill Sans MT" w:cs="Helvetica"/>
          <w:color w:val="333333"/>
          <w:sz w:val="21"/>
          <w:szCs w:val="21"/>
        </w:rPr>
        <w:t>figyelembe vételével</w:t>
      </w:r>
      <w:proofErr w:type="gramEnd"/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 alakították ki.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lehetőségekhez képest próbálják a továbbképzési programot a célokhoz, feladatokhoz igazítani, a szakmai, stratégiai célok és a szakvizsgára jelentkezők prioritást élveznek. (Vezetői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6.4.6. A vezetők felkészültek a pedagógiai munka irányításának, ellenőrzésének feladataira.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pedagógiai munka belső ellenőrzésének rendjét az SZMSZ 36. oldala tartalmazza. Az igazgatóhelyettesek az igazgató utasítása és a munkaterven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megfogalmazottak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szerint vesznek részt az ellenőrzési feladatokban. Az óralátogatásokat a munkaközösségvezetők végzik. A munkaközösség </w:t>
      </w:r>
      <w:r w:rsidRPr="00BE414A">
        <w:rPr>
          <w:rFonts w:ascii="Gill Sans MT" w:hAnsi="Gill Sans MT" w:cs="Helvetica"/>
          <w:color w:val="555555"/>
          <w:sz w:val="21"/>
          <w:szCs w:val="21"/>
        </w:rPr>
        <w:lastRenderedPageBreak/>
        <w:t>vezetők feladata a pedagógiai, szakmai, módszertani tevékenység irányítása, ellenőrzése, minősítése, az iskolai nevelő-oktató munka belső fejlesztése, korszerűsítése, tanítási órák látogatása, ellenőrzése. SZMSZ 16. A vezetők a jogszabályok tanulmányozása után, vezetői megbeszéléseken beszélik meg a pedagógiai munka irányításának, ellenőrzésének feladatait, ezután a tantestület elé tárják a fő célokat.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6.5.1. Az intézmény vezetése személyesen és aktívan részt vesz a szervezeti és tanulási kultúra fejlesztésében.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vezetőség támogatja a tanulási kultúra fejlesztését, az újító kezdeményezéseket, szerepet vállal a pozitív munkahelyi légkör kialakításában. A vezetés irányításával fórumokon, értekezleteken lehetőség van a problémák közös megbeszélésére.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6.5.2. Az intézmény szervezeti és tanulási kultúráját a közösen meghozott, elfogadott és betartott normák, szabályok jellemzik.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családias, toleráns, változóképes, fennmaradó, mindenes nevelőtestület közösen dolgozik az iskolai eredményekért, negyedévi rendszerességgel vannak értekezletek vagy aktuális események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esetén.(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6.5.3. Az intézmény alkalmazotti közösségének munkájára, együttműködésére a magas szintű belső igényesség, hatékonyság jellemző.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intézmény pedagógusai között található egy alapító mag, akik nagyon elkötelezettek, igényesek az iskola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felé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amivel példát mutatnak a többieknek is. Az iskola pedagógusai magas szintű oktató-nevelő munkát végeznek, mellyel a partnerek és saját maguk is elégedettek. (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vezetői ,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interjú pedagógus, szülői kérdőív)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6.5.4. Az intézmény munkatársai gyűjtik és megosztják a jó tanulásszervezési és pedagógiai gyakorlatokat az intézményen belül és kívül.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pedagógusok ha szükséges megosztják egymással a jó gyakorlatokat az intézményen belül, de az egyre nagyobb leterheltség korlátozza ezeket 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tevékenységeket.(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>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6.6.1. Az intézmény számára </w:t>
      </w:r>
      <w:proofErr w:type="spellStart"/>
      <w:r w:rsidRPr="00BE414A">
        <w:rPr>
          <w:rFonts w:ascii="Gill Sans MT" w:hAnsi="Gill Sans MT" w:cs="Helvetica"/>
          <w:color w:val="333333"/>
          <w:sz w:val="21"/>
          <w:szCs w:val="21"/>
        </w:rPr>
        <w:t>fontosak</w:t>
      </w:r>
      <w:proofErr w:type="spellEnd"/>
      <w:r w:rsidRPr="00BE414A">
        <w:rPr>
          <w:rFonts w:ascii="Gill Sans MT" w:hAnsi="Gill Sans MT" w:cs="Helvetica"/>
          <w:color w:val="333333"/>
          <w:sz w:val="21"/>
          <w:szCs w:val="21"/>
        </w:rPr>
        <w:t xml:space="preserve"> a hagyományai, azok megjelennek az intézmény alapdokumentumaiban, tetten érhetők a szervezet működésében, és a nevelő-oktató munka részét képezik.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Az iskola büszke a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hagyományaira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amit a dokumentumai tartalmaz. Iskolanap, sportnap, egyesületi vezetők meghívása az iskolai rendezvényekre, élsportolók visszahívása, kadétprogram,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szalagtűzés,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stb.(interjúk)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6.6.2. Az intézményben dolgozók és külső partnereik ismerik és ápolják az intézmény múltját, hagyományait, nyitottak új hagyományok teremtésére.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iskola hagyományápoló, szíves térnek vissza régi diákjai a találkozókra.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6.7.1. A munkatársak felelősségének és hatáskörének meghatározása egyértelmű, az eredményekről rendszeresen beszámolnak.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lastRenderedPageBreak/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6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munkatársak felelősségének és hatáskörének meghatározása egyértelműen le van írva a dokumentumokban-ben, a meglévő belső ellenőrzési tervben, az éves ütemtervben.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6.7.2. A feladatmegosztás a szakértelem és az egyenletes terhelés alapján történik.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intézményvezető törekszik az egyenletes terhelés megvalósítására. (vezeti interjú). Nehezen megvalósítható, a hajlandóságot tartja elsődlegesnek.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6.7.3. A felelősség és hatáskörök megfelelnek az intézmény helyi szabályozásában (SZMSZ) rögzítetteknek, és támogatják az adott feladat megvalósulását.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felelősség és hatáskörök megfelelnek az intézmény helyi szabályozásában.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6.8.1. Folyamatosan megtörténik az egyének és csoportok döntés előkészítésbe történő bevonása - képességük, szakértelmük és a jogszabályi előírások alapján.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munkaközösségek szakmai, módszertani kérdésekben segítséget adnak az intézményben folyó nevelő és oktató munka tervezéséhez, szervezéséhez és ellenőrzéséhez. A fórumokon, értekezleteken lehetőség van alulról jövő kezdeményezések megvitatására, elfogadására. a vezetőség nyitott ezekre e kezdeményezésekre, és teret enged a realitások talaján az ötletek megvalósítására. (pedagógus interjú, vezetői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6.8.2. Ennek rendje kialakított és dokumentált.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Ennek rendje az SZMSZ-ben dokumentált.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6.9.1. Az intézmény munkatársai képességük, szakértelmük, érdeklődésük szerint javaslatokkal segítik a fejlesztést.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4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Javaslatokkal segítik a fejlesztést, elsősorban </w:t>
      </w:r>
      <w:proofErr w:type="gramStart"/>
      <w:r w:rsidRPr="00BE414A">
        <w:rPr>
          <w:rFonts w:ascii="Gill Sans MT" w:hAnsi="Gill Sans MT" w:cs="Helvetica"/>
          <w:color w:val="555555"/>
          <w:sz w:val="21"/>
          <w:szCs w:val="21"/>
        </w:rPr>
        <w:t>akkor</w:t>
      </w:r>
      <w:proofErr w:type="gram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ha az iskola érdekei és a saját érdekeik megegyeznek. (Interjúk)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6.9.2. Az intézmény lehetőségeket teremt az innovációt és a kreatív gondolkodást ösztönző műhelyfoglalkozásokra, fórumokra.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5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Működnek aktuális feladat, téma megbeszélését megvitató fórumok. (pedagógus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6.9.3. A legjobb gyakorlatok eredményeinek bemutatására, követésére, alkalmazására nyitott a testület és az intézményvezetés.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6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A tantestület rendelkezésére áll egy e-mailes levelező rendszer, melyen megoszthatják új információikat, </w:t>
      </w:r>
      <w:proofErr w:type="spellStart"/>
      <w:r w:rsidRPr="00BE414A">
        <w:rPr>
          <w:rFonts w:ascii="Gill Sans MT" w:hAnsi="Gill Sans MT" w:cs="Helvetica"/>
          <w:color w:val="555555"/>
          <w:sz w:val="21"/>
          <w:szCs w:val="21"/>
        </w:rPr>
        <w:t>ill</w:t>
      </w:r>
      <w:proofErr w:type="spellEnd"/>
      <w:r w:rsidRPr="00BE414A">
        <w:rPr>
          <w:rFonts w:ascii="Gill Sans MT" w:hAnsi="Gill Sans MT" w:cs="Helvetica"/>
          <w:color w:val="555555"/>
          <w:sz w:val="21"/>
          <w:szCs w:val="21"/>
        </w:rPr>
        <w:t xml:space="preserve"> beszélgető fórumokon nyílik rá lehetőség. Vannak a testületben érdeklődő, nyitott pedagógusok, akik ezt szívesen meghallgatják és ki is próbálják. (pedagógus interjú)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7.1.1. Az intézmény pedagógiai programja koherens a Kormány és az oktatásért felelős miniszter által kiadott tantervi szabályozó dokumentumban és az érettségi követelményekben foglaltakkal.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lastRenderedPageBreak/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7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Pedagógiai Program készítésekor először a vezetőség vizsgálja a törvényi kereteket és elvárásokat. Ezután a nevelőtestület bevonásával alakítják a pedagógiai programot.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7.2.1. Az intézmény folyamatosan nyomon követi a pedagógiai programjában foglaltak megvalósulását.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8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intézmény operatív tervei igazodnak a stratégiai tervekhez, melyek megvalósulását az éves beszámolókban rögzítik, ill. a pedagógus interjú is megerősítette őket.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7.2.2. Minden tanév tervezésekor megtörténik az intézmény tevékenységeinek terveinek ütemezése, ami az éves munkatervben és más fejlesztési, intézkedési tervekben rögzítésre is kerül.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79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Minden tanév elején elkészülnek a munkatervek.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7.2.3. A tervek nyilvánossága biztosított.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80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SZMSZ leírja, hogy hol tekinthetők meg a dokumentumok, melyeket a szülők, és a DÖK is véleményezhet.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7.2.4. A tervekben (éves munkaterv, továbbképzési terv, ötéves intézkedési terv) jól követhetők a pedagógiai program kiemelt céljaira vonatkozó részcélok, feladatok, felelősök, a megvalósulást jelző eredménymutatók.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81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éves munkatervekben jól követhetők a pedagógiai program kiemelt céljaira vonatkozó részcélok, feladatok, felelősök, a megvalósulást jelző eredménymutatók.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7.2.5. A képzési és fejlesztési tervek elkészítése az eredmények ismeretében, azokra épülve, annak érdekében történik, hogy a munkatársak szakmai tudása megfeleljen az intézmény jelenlegi és jövőbeli igényeinek, elvárásainak.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82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Az iskola fő célja a tehetséggondozás a sport területén, a tanítás-tanulás színvonalának emelése, jó tanulmányi eredmények elérése, sikeres kompetencia mérések, mert ebből ítélik meg az iskola színvonalát. A pedagógus továbbképzések javaslatai erre irányulnak. A pedagógusok olyan képzéseken vehetnek részt, mely szaktárgyi tudásuk emeléséhez járulnak hozzá. A továbbképzéseken való részvételnek a leterheltség állíthat akadályt</w:t>
      </w:r>
    </w:p>
    <w:p w:rsidR="007F5478" w:rsidRPr="00BE414A" w:rsidRDefault="007F5478" w:rsidP="007F5478">
      <w:pPr>
        <w:pStyle w:val="ng-binding"/>
        <w:shd w:val="clear" w:color="auto" w:fill="FFFFFF"/>
        <w:spacing w:before="0" w:beforeAutospacing="0" w:after="0" w:afterAutospacing="0" w:line="384" w:lineRule="atLeast"/>
        <w:textAlignment w:val="baseline"/>
        <w:rPr>
          <w:rFonts w:ascii="Gill Sans MT" w:hAnsi="Gill Sans MT" w:cs="Helvetica"/>
          <w:color w:val="333333"/>
          <w:sz w:val="21"/>
          <w:szCs w:val="21"/>
        </w:rPr>
      </w:pPr>
      <w:r w:rsidRPr="00BE414A">
        <w:rPr>
          <w:rFonts w:ascii="Gill Sans MT" w:hAnsi="Gill Sans MT" w:cs="Helvetica"/>
          <w:color w:val="333333"/>
          <w:sz w:val="21"/>
          <w:szCs w:val="21"/>
        </w:rPr>
        <w:t>7.2.6. A tanítási módszerek, a nevelő-oktató munkát támogató papír alapú és digitális tankönyvek, segédanyagok kiválasztása és alkalmazása rugalmasan, a pedagógiai prioritásokkal összhangban történik.</w:t>
      </w:r>
    </w:p>
    <w:p w:rsidR="007F5478" w:rsidRPr="00BE414A" w:rsidRDefault="007F5478" w:rsidP="007F5478">
      <w:pPr>
        <w:pStyle w:val="Cmsor5"/>
        <w:shd w:val="clear" w:color="auto" w:fill="FFFFFF"/>
        <w:spacing w:before="150" w:beforeAutospacing="0" w:after="0" w:afterAutospacing="0"/>
        <w:textAlignment w:val="baseline"/>
        <w:rPr>
          <w:rFonts w:ascii="Gill Sans MT" w:hAnsi="Gill Sans MT" w:cs="Helvetica"/>
          <w:b w:val="0"/>
          <w:bCs w:val="0"/>
          <w:color w:val="D1130D"/>
          <w:sz w:val="21"/>
          <w:szCs w:val="21"/>
        </w:rPr>
      </w:pPr>
      <w:r w:rsidRPr="00BE414A">
        <w:rPr>
          <w:rFonts w:ascii="Gill Sans MT" w:hAnsi="Gill Sans MT" w:cs="Helvetica"/>
          <w:b w:val="0"/>
          <w:bCs w:val="0"/>
          <w:color w:val="D1130D"/>
          <w:sz w:val="21"/>
          <w:szCs w:val="21"/>
        </w:rPr>
        <w:t>Megjegyzés</w:t>
      </w:r>
    </w:p>
    <w:p w:rsidR="007F5478" w:rsidRPr="00BE414A" w:rsidRDefault="007F5478" w:rsidP="007F5478">
      <w:pPr>
        <w:pStyle w:val="ng-binding"/>
        <w:numPr>
          <w:ilvl w:val="0"/>
          <w:numId w:val="183"/>
        </w:numPr>
        <w:shd w:val="clear" w:color="auto" w:fill="FFFFFF"/>
        <w:spacing w:before="75" w:beforeAutospacing="0" w:after="75" w:afterAutospacing="0"/>
        <w:ind w:left="300"/>
        <w:textAlignment w:val="baseline"/>
        <w:rPr>
          <w:rFonts w:ascii="Gill Sans MT" w:hAnsi="Gill Sans MT" w:cs="Helvetica"/>
          <w:color w:val="555555"/>
          <w:sz w:val="21"/>
          <w:szCs w:val="21"/>
        </w:rPr>
      </w:pPr>
      <w:r w:rsidRPr="00BE414A">
        <w:rPr>
          <w:rFonts w:ascii="Gill Sans MT" w:hAnsi="Gill Sans MT" w:cs="Helvetica"/>
          <w:color w:val="555555"/>
          <w:sz w:val="21"/>
          <w:szCs w:val="21"/>
        </w:rPr>
        <w:t>A dokumentumok és interjúk egyaránt alátámasztják, hogy a pedagógusok változatos tanítási módszerekkel tanítanak. A tankönyvek választása korlátozott. A lehetőségekhez képest próbálják a megfelelőt kiválasztani.</w:t>
      </w:r>
    </w:p>
    <w:p w:rsidR="007F5478" w:rsidRPr="00BE414A" w:rsidRDefault="007F5478">
      <w:pPr>
        <w:rPr>
          <w:rFonts w:ascii="Gill Sans MT" w:hAnsi="Gill Sans MT"/>
        </w:rPr>
      </w:pPr>
    </w:p>
    <w:sectPr w:rsidR="007F5478" w:rsidRPr="00BE4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026"/>
    <w:multiLevelType w:val="multilevel"/>
    <w:tmpl w:val="82B0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93CE1"/>
    <w:multiLevelType w:val="multilevel"/>
    <w:tmpl w:val="751A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9E2E69"/>
    <w:multiLevelType w:val="multilevel"/>
    <w:tmpl w:val="7A4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A95E01"/>
    <w:multiLevelType w:val="multilevel"/>
    <w:tmpl w:val="1496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D73DB7"/>
    <w:multiLevelType w:val="multilevel"/>
    <w:tmpl w:val="D24C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B04B27"/>
    <w:multiLevelType w:val="multilevel"/>
    <w:tmpl w:val="B490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D821FE"/>
    <w:multiLevelType w:val="multilevel"/>
    <w:tmpl w:val="8A12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3E64C86"/>
    <w:multiLevelType w:val="multilevel"/>
    <w:tmpl w:val="D644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85F2C"/>
    <w:multiLevelType w:val="multilevel"/>
    <w:tmpl w:val="EFE4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68557F0"/>
    <w:multiLevelType w:val="multilevel"/>
    <w:tmpl w:val="B5D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8D031F"/>
    <w:multiLevelType w:val="multilevel"/>
    <w:tmpl w:val="D56A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0A2091"/>
    <w:multiLevelType w:val="multilevel"/>
    <w:tmpl w:val="104C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304F87"/>
    <w:multiLevelType w:val="multilevel"/>
    <w:tmpl w:val="5D8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AC68B8"/>
    <w:multiLevelType w:val="multilevel"/>
    <w:tmpl w:val="3020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315CE9"/>
    <w:multiLevelType w:val="multilevel"/>
    <w:tmpl w:val="304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DC7D33"/>
    <w:multiLevelType w:val="multilevel"/>
    <w:tmpl w:val="B156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E96015"/>
    <w:multiLevelType w:val="multilevel"/>
    <w:tmpl w:val="ABF2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A1D256F"/>
    <w:multiLevelType w:val="multilevel"/>
    <w:tmpl w:val="B5F0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A3E20AA"/>
    <w:multiLevelType w:val="multilevel"/>
    <w:tmpl w:val="B382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407C48"/>
    <w:multiLevelType w:val="multilevel"/>
    <w:tmpl w:val="5BD0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B846A49"/>
    <w:multiLevelType w:val="multilevel"/>
    <w:tmpl w:val="7386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C12F44"/>
    <w:multiLevelType w:val="multilevel"/>
    <w:tmpl w:val="F81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182CA3"/>
    <w:multiLevelType w:val="multilevel"/>
    <w:tmpl w:val="45D6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C93CDB"/>
    <w:multiLevelType w:val="multilevel"/>
    <w:tmpl w:val="A69C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E97EFB"/>
    <w:multiLevelType w:val="multilevel"/>
    <w:tmpl w:val="85AC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A03673"/>
    <w:multiLevelType w:val="multilevel"/>
    <w:tmpl w:val="419E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02E6548"/>
    <w:multiLevelType w:val="multilevel"/>
    <w:tmpl w:val="7230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0886B9E"/>
    <w:multiLevelType w:val="multilevel"/>
    <w:tmpl w:val="9092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2492130"/>
    <w:multiLevelType w:val="multilevel"/>
    <w:tmpl w:val="E94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24A6732"/>
    <w:multiLevelType w:val="multilevel"/>
    <w:tmpl w:val="6F7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F97C20"/>
    <w:multiLevelType w:val="multilevel"/>
    <w:tmpl w:val="467C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116951"/>
    <w:multiLevelType w:val="multilevel"/>
    <w:tmpl w:val="4E2A0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3F231B"/>
    <w:multiLevelType w:val="multilevel"/>
    <w:tmpl w:val="D8C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A43887"/>
    <w:multiLevelType w:val="multilevel"/>
    <w:tmpl w:val="B2DC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7216FE1"/>
    <w:multiLevelType w:val="multilevel"/>
    <w:tmpl w:val="D426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83A103C"/>
    <w:multiLevelType w:val="multilevel"/>
    <w:tmpl w:val="1224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99D63F1"/>
    <w:multiLevelType w:val="multilevel"/>
    <w:tmpl w:val="C1A4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9EE651F"/>
    <w:multiLevelType w:val="multilevel"/>
    <w:tmpl w:val="66EA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A36F24"/>
    <w:multiLevelType w:val="multilevel"/>
    <w:tmpl w:val="FE5A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E9860E6"/>
    <w:multiLevelType w:val="multilevel"/>
    <w:tmpl w:val="236C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EE036F2"/>
    <w:multiLevelType w:val="multilevel"/>
    <w:tmpl w:val="5E0A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046518"/>
    <w:multiLevelType w:val="multilevel"/>
    <w:tmpl w:val="40D4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018629A"/>
    <w:multiLevelType w:val="multilevel"/>
    <w:tmpl w:val="D27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06B5C6E"/>
    <w:multiLevelType w:val="multilevel"/>
    <w:tmpl w:val="72C6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1056815"/>
    <w:multiLevelType w:val="multilevel"/>
    <w:tmpl w:val="5C66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11307F1"/>
    <w:multiLevelType w:val="multilevel"/>
    <w:tmpl w:val="A8B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D81293"/>
    <w:multiLevelType w:val="multilevel"/>
    <w:tmpl w:val="A39A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E209CC"/>
    <w:multiLevelType w:val="multilevel"/>
    <w:tmpl w:val="0EDC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22A56A5"/>
    <w:multiLevelType w:val="multilevel"/>
    <w:tmpl w:val="8D4C2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4961B6"/>
    <w:multiLevelType w:val="multilevel"/>
    <w:tmpl w:val="7E14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5C3444"/>
    <w:multiLevelType w:val="multilevel"/>
    <w:tmpl w:val="82FC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4603BBB"/>
    <w:multiLevelType w:val="multilevel"/>
    <w:tmpl w:val="9026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5944D20"/>
    <w:multiLevelType w:val="multilevel"/>
    <w:tmpl w:val="1518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6B65484"/>
    <w:multiLevelType w:val="multilevel"/>
    <w:tmpl w:val="341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6EB2E15"/>
    <w:multiLevelType w:val="multilevel"/>
    <w:tmpl w:val="3162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5700B7"/>
    <w:multiLevelType w:val="multilevel"/>
    <w:tmpl w:val="557A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7F93496"/>
    <w:multiLevelType w:val="multilevel"/>
    <w:tmpl w:val="4C8C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4F08DE"/>
    <w:multiLevelType w:val="multilevel"/>
    <w:tmpl w:val="DE38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D665E2"/>
    <w:multiLevelType w:val="multilevel"/>
    <w:tmpl w:val="AD38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A8973C4"/>
    <w:multiLevelType w:val="multilevel"/>
    <w:tmpl w:val="F060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46551F"/>
    <w:multiLevelType w:val="multilevel"/>
    <w:tmpl w:val="785CF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B911C92"/>
    <w:multiLevelType w:val="multilevel"/>
    <w:tmpl w:val="8DD8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BD183B"/>
    <w:multiLevelType w:val="multilevel"/>
    <w:tmpl w:val="93A4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D606CD7"/>
    <w:multiLevelType w:val="multilevel"/>
    <w:tmpl w:val="63C86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214E62"/>
    <w:multiLevelType w:val="multilevel"/>
    <w:tmpl w:val="897A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A34417"/>
    <w:multiLevelType w:val="multilevel"/>
    <w:tmpl w:val="E2D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0752913"/>
    <w:multiLevelType w:val="multilevel"/>
    <w:tmpl w:val="DCBA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07B2194"/>
    <w:multiLevelType w:val="multilevel"/>
    <w:tmpl w:val="DB76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1582823"/>
    <w:multiLevelType w:val="multilevel"/>
    <w:tmpl w:val="DE3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18630E4"/>
    <w:multiLevelType w:val="multilevel"/>
    <w:tmpl w:val="98F6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1DD18D8"/>
    <w:multiLevelType w:val="multilevel"/>
    <w:tmpl w:val="A07A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28B2D97"/>
    <w:multiLevelType w:val="multilevel"/>
    <w:tmpl w:val="8438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3950F9D"/>
    <w:multiLevelType w:val="multilevel"/>
    <w:tmpl w:val="3AF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42F2E4F"/>
    <w:multiLevelType w:val="multilevel"/>
    <w:tmpl w:val="6EF8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4376B00"/>
    <w:multiLevelType w:val="multilevel"/>
    <w:tmpl w:val="699CE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5373B83"/>
    <w:multiLevelType w:val="multilevel"/>
    <w:tmpl w:val="A904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5861990"/>
    <w:multiLevelType w:val="multilevel"/>
    <w:tmpl w:val="B9B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5EA1EC1"/>
    <w:multiLevelType w:val="multilevel"/>
    <w:tmpl w:val="0322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5F82E44"/>
    <w:multiLevelType w:val="multilevel"/>
    <w:tmpl w:val="2ACA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6465EDE"/>
    <w:multiLevelType w:val="multilevel"/>
    <w:tmpl w:val="514C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6B168AD"/>
    <w:multiLevelType w:val="multilevel"/>
    <w:tmpl w:val="FB16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75B6CE9"/>
    <w:multiLevelType w:val="multilevel"/>
    <w:tmpl w:val="FFAA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79C1179"/>
    <w:multiLevelType w:val="multilevel"/>
    <w:tmpl w:val="EF80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7A62BC0"/>
    <w:multiLevelType w:val="multilevel"/>
    <w:tmpl w:val="59522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7F60934"/>
    <w:multiLevelType w:val="multilevel"/>
    <w:tmpl w:val="5DAE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8EE40CB"/>
    <w:multiLevelType w:val="multilevel"/>
    <w:tmpl w:val="BFB8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97A4436"/>
    <w:multiLevelType w:val="multilevel"/>
    <w:tmpl w:val="252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A016527"/>
    <w:multiLevelType w:val="multilevel"/>
    <w:tmpl w:val="BDB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B585708"/>
    <w:multiLevelType w:val="multilevel"/>
    <w:tmpl w:val="110E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C432735"/>
    <w:multiLevelType w:val="multilevel"/>
    <w:tmpl w:val="B4E8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D2D2470"/>
    <w:multiLevelType w:val="multilevel"/>
    <w:tmpl w:val="4F363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E283B9C"/>
    <w:multiLevelType w:val="multilevel"/>
    <w:tmpl w:val="2684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E574189"/>
    <w:multiLevelType w:val="multilevel"/>
    <w:tmpl w:val="B5E0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E7309A3"/>
    <w:multiLevelType w:val="multilevel"/>
    <w:tmpl w:val="B8760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2A3298C"/>
    <w:multiLevelType w:val="multilevel"/>
    <w:tmpl w:val="564E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31E0706"/>
    <w:multiLevelType w:val="multilevel"/>
    <w:tmpl w:val="4508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32D6388"/>
    <w:multiLevelType w:val="multilevel"/>
    <w:tmpl w:val="2B5C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7B0945"/>
    <w:multiLevelType w:val="multilevel"/>
    <w:tmpl w:val="78D88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49B22A3"/>
    <w:multiLevelType w:val="multilevel"/>
    <w:tmpl w:val="21EC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5493EDC"/>
    <w:multiLevelType w:val="multilevel"/>
    <w:tmpl w:val="6B50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5AB63B1"/>
    <w:multiLevelType w:val="multilevel"/>
    <w:tmpl w:val="A93E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6015AA0"/>
    <w:multiLevelType w:val="multilevel"/>
    <w:tmpl w:val="ECCA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6DC24E6"/>
    <w:multiLevelType w:val="multilevel"/>
    <w:tmpl w:val="AC7EF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73502E8"/>
    <w:multiLevelType w:val="multilevel"/>
    <w:tmpl w:val="6292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7A66D9F"/>
    <w:multiLevelType w:val="multilevel"/>
    <w:tmpl w:val="8756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7EA1E7F"/>
    <w:multiLevelType w:val="multilevel"/>
    <w:tmpl w:val="527A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8830256"/>
    <w:multiLevelType w:val="multilevel"/>
    <w:tmpl w:val="7DE4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931324F"/>
    <w:multiLevelType w:val="multilevel"/>
    <w:tmpl w:val="9E44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9452B96"/>
    <w:multiLevelType w:val="multilevel"/>
    <w:tmpl w:val="AE72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BA967B8"/>
    <w:multiLevelType w:val="multilevel"/>
    <w:tmpl w:val="B4B2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BDC6A7B"/>
    <w:multiLevelType w:val="multilevel"/>
    <w:tmpl w:val="61F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C0C3AE5"/>
    <w:multiLevelType w:val="multilevel"/>
    <w:tmpl w:val="42C6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C900361"/>
    <w:multiLevelType w:val="multilevel"/>
    <w:tmpl w:val="B62E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D1900E5"/>
    <w:multiLevelType w:val="multilevel"/>
    <w:tmpl w:val="F758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D393F7B"/>
    <w:multiLevelType w:val="multilevel"/>
    <w:tmpl w:val="011E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E834B36"/>
    <w:multiLevelType w:val="multilevel"/>
    <w:tmpl w:val="3C8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04F38A7"/>
    <w:multiLevelType w:val="multilevel"/>
    <w:tmpl w:val="3718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08A7A6A"/>
    <w:multiLevelType w:val="multilevel"/>
    <w:tmpl w:val="EEDC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0AB02DF"/>
    <w:multiLevelType w:val="multilevel"/>
    <w:tmpl w:val="8AEC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1637A70"/>
    <w:multiLevelType w:val="multilevel"/>
    <w:tmpl w:val="EC56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1B7221D"/>
    <w:multiLevelType w:val="multilevel"/>
    <w:tmpl w:val="D812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1BE3202"/>
    <w:multiLevelType w:val="multilevel"/>
    <w:tmpl w:val="8176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2F003B7"/>
    <w:multiLevelType w:val="multilevel"/>
    <w:tmpl w:val="54BC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3262E2F"/>
    <w:multiLevelType w:val="multilevel"/>
    <w:tmpl w:val="ED4AC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3A94F8A"/>
    <w:multiLevelType w:val="multilevel"/>
    <w:tmpl w:val="4FB4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45D2D4A"/>
    <w:multiLevelType w:val="multilevel"/>
    <w:tmpl w:val="64CE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4A92157"/>
    <w:multiLevelType w:val="multilevel"/>
    <w:tmpl w:val="923A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51548CF"/>
    <w:multiLevelType w:val="multilevel"/>
    <w:tmpl w:val="E726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679159E"/>
    <w:multiLevelType w:val="multilevel"/>
    <w:tmpl w:val="EEA0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6AF30A0"/>
    <w:multiLevelType w:val="multilevel"/>
    <w:tmpl w:val="5D52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6EA04F8"/>
    <w:multiLevelType w:val="multilevel"/>
    <w:tmpl w:val="AA44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74C43B9"/>
    <w:multiLevelType w:val="multilevel"/>
    <w:tmpl w:val="84E8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7831178"/>
    <w:multiLevelType w:val="multilevel"/>
    <w:tmpl w:val="D3E2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87370C2"/>
    <w:multiLevelType w:val="multilevel"/>
    <w:tmpl w:val="4AD2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9072C08"/>
    <w:multiLevelType w:val="multilevel"/>
    <w:tmpl w:val="DE8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C1F4AAF"/>
    <w:multiLevelType w:val="multilevel"/>
    <w:tmpl w:val="C5F8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DA42907"/>
    <w:multiLevelType w:val="multilevel"/>
    <w:tmpl w:val="78E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6014385D"/>
    <w:multiLevelType w:val="multilevel"/>
    <w:tmpl w:val="2424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05F6D2C"/>
    <w:multiLevelType w:val="multilevel"/>
    <w:tmpl w:val="1F56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0916227"/>
    <w:multiLevelType w:val="multilevel"/>
    <w:tmpl w:val="99D4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0FB5277"/>
    <w:multiLevelType w:val="multilevel"/>
    <w:tmpl w:val="A86A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1E97706"/>
    <w:multiLevelType w:val="multilevel"/>
    <w:tmpl w:val="ED14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21173C1"/>
    <w:multiLevelType w:val="multilevel"/>
    <w:tmpl w:val="F9B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23A19FB"/>
    <w:multiLevelType w:val="multilevel"/>
    <w:tmpl w:val="B5F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287282D"/>
    <w:multiLevelType w:val="multilevel"/>
    <w:tmpl w:val="EE7A5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2C32A1D"/>
    <w:multiLevelType w:val="multilevel"/>
    <w:tmpl w:val="8AE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2E83A75"/>
    <w:multiLevelType w:val="multilevel"/>
    <w:tmpl w:val="9C5E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31F78B8"/>
    <w:multiLevelType w:val="multilevel"/>
    <w:tmpl w:val="0290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3730AE4"/>
    <w:multiLevelType w:val="multilevel"/>
    <w:tmpl w:val="1720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4F84080"/>
    <w:multiLevelType w:val="multilevel"/>
    <w:tmpl w:val="7678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5070FC3"/>
    <w:multiLevelType w:val="multilevel"/>
    <w:tmpl w:val="CADA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79E6F66"/>
    <w:multiLevelType w:val="multilevel"/>
    <w:tmpl w:val="EEAE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7B14ABF"/>
    <w:multiLevelType w:val="multilevel"/>
    <w:tmpl w:val="ADC8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8195AD3"/>
    <w:multiLevelType w:val="multilevel"/>
    <w:tmpl w:val="453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8C77192"/>
    <w:multiLevelType w:val="multilevel"/>
    <w:tmpl w:val="9C78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9523ED7"/>
    <w:multiLevelType w:val="multilevel"/>
    <w:tmpl w:val="DCD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9E82554"/>
    <w:multiLevelType w:val="multilevel"/>
    <w:tmpl w:val="73C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9F51B84"/>
    <w:multiLevelType w:val="multilevel"/>
    <w:tmpl w:val="BD50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AA6271F"/>
    <w:multiLevelType w:val="multilevel"/>
    <w:tmpl w:val="FB92C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ACF60F8"/>
    <w:multiLevelType w:val="multilevel"/>
    <w:tmpl w:val="8896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B0865F2"/>
    <w:multiLevelType w:val="multilevel"/>
    <w:tmpl w:val="A094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C0B28CB"/>
    <w:multiLevelType w:val="multilevel"/>
    <w:tmpl w:val="7E46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C96160F"/>
    <w:multiLevelType w:val="multilevel"/>
    <w:tmpl w:val="C52C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CBF208A"/>
    <w:multiLevelType w:val="multilevel"/>
    <w:tmpl w:val="17DE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D78702B"/>
    <w:multiLevelType w:val="multilevel"/>
    <w:tmpl w:val="EADC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0873207"/>
    <w:multiLevelType w:val="multilevel"/>
    <w:tmpl w:val="EB30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17857CD"/>
    <w:multiLevelType w:val="multilevel"/>
    <w:tmpl w:val="2DBA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1B6128B"/>
    <w:multiLevelType w:val="multilevel"/>
    <w:tmpl w:val="12B0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1C606F6"/>
    <w:multiLevelType w:val="multilevel"/>
    <w:tmpl w:val="83CA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2782A27"/>
    <w:multiLevelType w:val="multilevel"/>
    <w:tmpl w:val="92A8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2DD4D37"/>
    <w:multiLevelType w:val="multilevel"/>
    <w:tmpl w:val="EDCA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4BF1A37"/>
    <w:multiLevelType w:val="multilevel"/>
    <w:tmpl w:val="DE2CE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6E33270"/>
    <w:multiLevelType w:val="multilevel"/>
    <w:tmpl w:val="5678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6EE628C"/>
    <w:multiLevelType w:val="multilevel"/>
    <w:tmpl w:val="C700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92011D4"/>
    <w:multiLevelType w:val="multilevel"/>
    <w:tmpl w:val="6ED0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A295CC0"/>
    <w:multiLevelType w:val="multilevel"/>
    <w:tmpl w:val="0AC8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B3740A8"/>
    <w:multiLevelType w:val="multilevel"/>
    <w:tmpl w:val="608E9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BA81DA5"/>
    <w:multiLevelType w:val="multilevel"/>
    <w:tmpl w:val="DF30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C9F3FCE"/>
    <w:multiLevelType w:val="multilevel"/>
    <w:tmpl w:val="E37E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7DC94C39"/>
    <w:multiLevelType w:val="multilevel"/>
    <w:tmpl w:val="FB72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E316095"/>
    <w:multiLevelType w:val="multilevel"/>
    <w:tmpl w:val="E22EA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ED743DD"/>
    <w:multiLevelType w:val="multilevel"/>
    <w:tmpl w:val="7C5C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6C237A"/>
    <w:multiLevelType w:val="multilevel"/>
    <w:tmpl w:val="89C8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3"/>
  </w:num>
  <w:num w:numId="2">
    <w:abstractNumId w:val="143"/>
  </w:num>
  <w:num w:numId="3">
    <w:abstractNumId w:val="54"/>
  </w:num>
  <w:num w:numId="4">
    <w:abstractNumId w:val="177"/>
  </w:num>
  <w:num w:numId="5">
    <w:abstractNumId w:val="11"/>
  </w:num>
  <w:num w:numId="6">
    <w:abstractNumId w:val="142"/>
  </w:num>
  <w:num w:numId="7">
    <w:abstractNumId w:val="42"/>
  </w:num>
  <w:num w:numId="8">
    <w:abstractNumId w:val="7"/>
  </w:num>
  <w:num w:numId="9">
    <w:abstractNumId w:val="179"/>
  </w:num>
  <w:num w:numId="10">
    <w:abstractNumId w:val="62"/>
  </w:num>
  <w:num w:numId="11">
    <w:abstractNumId w:val="126"/>
  </w:num>
  <w:num w:numId="12">
    <w:abstractNumId w:val="164"/>
  </w:num>
  <w:num w:numId="13">
    <w:abstractNumId w:val="145"/>
  </w:num>
  <w:num w:numId="14">
    <w:abstractNumId w:val="176"/>
  </w:num>
  <w:num w:numId="15">
    <w:abstractNumId w:val="13"/>
  </w:num>
  <w:num w:numId="16">
    <w:abstractNumId w:val="82"/>
  </w:num>
  <w:num w:numId="17">
    <w:abstractNumId w:val="61"/>
  </w:num>
  <w:num w:numId="18">
    <w:abstractNumId w:val="45"/>
  </w:num>
  <w:num w:numId="19">
    <w:abstractNumId w:val="1"/>
  </w:num>
  <w:num w:numId="20">
    <w:abstractNumId w:val="40"/>
  </w:num>
  <w:num w:numId="21">
    <w:abstractNumId w:val="138"/>
  </w:num>
  <w:num w:numId="22">
    <w:abstractNumId w:val="128"/>
  </w:num>
  <w:num w:numId="23">
    <w:abstractNumId w:val="120"/>
  </w:num>
  <w:num w:numId="24">
    <w:abstractNumId w:val="83"/>
  </w:num>
  <w:num w:numId="25">
    <w:abstractNumId w:val="56"/>
  </w:num>
  <w:num w:numId="26">
    <w:abstractNumId w:val="26"/>
  </w:num>
  <w:num w:numId="27">
    <w:abstractNumId w:val="67"/>
  </w:num>
  <w:num w:numId="28">
    <w:abstractNumId w:val="79"/>
  </w:num>
  <w:num w:numId="29">
    <w:abstractNumId w:val="93"/>
  </w:num>
  <w:num w:numId="30">
    <w:abstractNumId w:val="115"/>
  </w:num>
  <w:num w:numId="31">
    <w:abstractNumId w:val="99"/>
  </w:num>
  <w:num w:numId="32">
    <w:abstractNumId w:val="71"/>
  </w:num>
  <w:num w:numId="33">
    <w:abstractNumId w:val="22"/>
  </w:num>
  <w:num w:numId="34">
    <w:abstractNumId w:val="43"/>
  </w:num>
  <w:num w:numId="35">
    <w:abstractNumId w:val="12"/>
  </w:num>
  <w:num w:numId="36">
    <w:abstractNumId w:val="9"/>
  </w:num>
  <w:num w:numId="37">
    <w:abstractNumId w:val="119"/>
  </w:num>
  <w:num w:numId="38">
    <w:abstractNumId w:val="96"/>
  </w:num>
  <w:num w:numId="39">
    <w:abstractNumId w:val="165"/>
  </w:num>
  <w:num w:numId="40">
    <w:abstractNumId w:val="109"/>
  </w:num>
  <w:num w:numId="41">
    <w:abstractNumId w:val="69"/>
  </w:num>
  <w:num w:numId="42">
    <w:abstractNumId w:val="153"/>
  </w:num>
  <w:num w:numId="43">
    <w:abstractNumId w:val="29"/>
  </w:num>
  <w:num w:numId="44">
    <w:abstractNumId w:val="116"/>
  </w:num>
  <w:num w:numId="45">
    <w:abstractNumId w:val="19"/>
  </w:num>
  <w:num w:numId="46">
    <w:abstractNumId w:val="70"/>
  </w:num>
  <w:num w:numId="47">
    <w:abstractNumId w:val="18"/>
  </w:num>
  <w:num w:numId="48">
    <w:abstractNumId w:val="169"/>
  </w:num>
  <w:num w:numId="49">
    <w:abstractNumId w:val="149"/>
  </w:num>
  <w:num w:numId="50">
    <w:abstractNumId w:val="174"/>
  </w:num>
  <w:num w:numId="51">
    <w:abstractNumId w:val="125"/>
  </w:num>
  <w:num w:numId="52">
    <w:abstractNumId w:val="107"/>
  </w:num>
  <w:num w:numId="53">
    <w:abstractNumId w:val="89"/>
  </w:num>
  <w:num w:numId="54">
    <w:abstractNumId w:val="95"/>
  </w:num>
  <w:num w:numId="55">
    <w:abstractNumId w:val="44"/>
  </w:num>
  <w:num w:numId="56">
    <w:abstractNumId w:val="118"/>
  </w:num>
  <w:num w:numId="57">
    <w:abstractNumId w:val="80"/>
  </w:num>
  <w:num w:numId="58">
    <w:abstractNumId w:val="86"/>
  </w:num>
  <w:num w:numId="59">
    <w:abstractNumId w:val="23"/>
  </w:num>
  <w:num w:numId="60">
    <w:abstractNumId w:val="15"/>
  </w:num>
  <w:num w:numId="61">
    <w:abstractNumId w:val="5"/>
  </w:num>
  <w:num w:numId="62">
    <w:abstractNumId w:val="48"/>
  </w:num>
  <w:num w:numId="63">
    <w:abstractNumId w:val="139"/>
  </w:num>
  <w:num w:numId="64">
    <w:abstractNumId w:val="106"/>
  </w:num>
  <w:num w:numId="65">
    <w:abstractNumId w:val="78"/>
  </w:num>
  <w:num w:numId="66">
    <w:abstractNumId w:val="36"/>
  </w:num>
  <w:num w:numId="67">
    <w:abstractNumId w:val="4"/>
  </w:num>
  <w:num w:numId="68">
    <w:abstractNumId w:val="175"/>
  </w:num>
  <w:num w:numId="69">
    <w:abstractNumId w:val="50"/>
  </w:num>
  <w:num w:numId="70">
    <w:abstractNumId w:val="77"/>
  </w:num>
  <w:num w:numId="71">
    <w:abstractNumId w:val="20"/>
  </w:num>
  <w:num w:numId="72">
    <w:abstractNumId w:val="2"/>
  </w:num>
  <w:num w:numId="73">
    <w:abstractNumId w:val="68"/>
  </w:num>
  <w:num w:numId="74">
    <w:abstractNumId w:val="112"/>
  </w:num>
  <w:num w:numId="75">
    <w:abstractNumId w:val="27"/>
  </w:num>
  <w:num w:numId="76">
    <w:abstractNumId w:val="58"/>
  </w:num>
  <w:num w:numId="77">
    <w:abstractNumId w:val="181"/>
  </w:num>
  <w:num w:numId="78">
    <w:abstractNumId w:val="182"/>
  </w:num>
  <w:num w:numId="79">
    <w:abstractNumId w:val="141"/>
  </w:num>
  <w:num w:numId="80">
    <w:abstractNumId w:val="171"/>
  </w:num>
  <w:num w:numId="81">
    <w:abstractNumId w:val="121"/>
  </w:num>
  <w:num w:numId="82">
    <w:abstractNumId w:val="154"/>
  </w:num>
  <w:num w:numId="83">
    <w:abstractNumId w:val="64"/>
  </w:num>
  <w:num w:numId="84">
    <w:abstractNumId w:val="172"/>
  </w:num>
  <w:num w:numId="85">
    <w:abstractNumId w:val="53"/>
  </w:num>
  <w:num w:numId="86">
    <w:abstractNumId w:val="3"/>
  </w:num>
  <w:num w:numId="87">
    <w:abstractNumId w:val="147"/>
  </w:num>
  <w:num w:numId="88">
    <w:abstractNumId w:val="17"/>
  </w:num>
  <w:num w:numId="89">
    <w:abstractNumId w:val="84"/>
  </w:num>
  <w:num w:numId="90">
    <w:abstractNumId w:val="155"/>
  </w:num>
  <w:num w:numId="91">
    <w:abstractNumId w:val="63"/>
  </w:num>
  <w:num w:numId="92">
    <w:abstractNumId w:val="88"/>
  </w:num>
  <w:num w:numId="93">
    <w:abstractNumId w:val="132"/>
  </w:num>
  <w:num w:numId="94">
    <w:abstractNumId w:val="150"/>
  </w:num>
  <w:num w:numId="95">
    <w:abstractNumId w:val="100"/>
  </w:num>
  <w:num w:numId="96">
    <w:abstractNumId w:val="35"/>
  </w:num>
  <w:num w:numId="97">
    <w:abstractNumId w:val="55"/>
  </w:num>
  <w:num w:numId="98">
    <w:abstractNumId w:val="33"/>
  </w:num>
  <w:num w:numId="99">
    <w:abstractNumId w:val="108"/>
  </w:num>
  <w:num w:numId="100">
    <w:abstractNumId w:val="72"/>
  </w:num>
  <w:num w:numId="101">
    <w:abstractNumId w:val="158"/>
  </w:num>
  <w:num w:numId="102">
    <w:abstractNumId w:val="91"/>
  </w:num>
  <w:num w:numId="103">
    <w:abstractNumId w:val="21"/>
  </w:num>
  <w:num w:numId="104">
    <w:abstractNumId w:val="137"/>
  </w:num>
  <w:num w:numId="105">
    <w:abstractNumId w:val="66"/>
  </w:num>
  <w:num w:numId="106">
    <w:abstractNumId w:val="28"/>
  </w:num>
  <w:num w:numId="107">
    <w:abstractNumId w:val="136"/>
  </w:num>
  <w:num w:numId="108">
    <w:abstractNumId w:val="85"/>
  </w:num>
  <w:num w:numId="109">
    <w:abstractNumId w:val="101"/>
  </w:num>
  <w:num w:numId="110">
    <w:abstractNumId w:val="30"/>
  </w:num>
  <w:num w:numId="111">
    <w:abstractNumId w:val="146"/>
  </w:num>
  <w:num w:numId="112">
    <w:abstractNumId w:val="103"/>
  </w:num>
  <w:num w:numId="113">
    <w:abstractNumId w:val="10"/>
  </w:num>
  <w:num w:numId="114">
    <w:abstractNumId w:val="6"/>
  </w:num>
  <w:num w:numId="115">
    <w:abstractNumId w:val="113"/>
  </w:num>
  <w:num w:numId="116">
    <w:abstractNumId w:val="114"/>
  </w:num>
  <w:num w:numId="117">
    <w:abstractNumId w:val="178"/>
  </w:num>
  <w:num w:numId="118">
    <w:abstractNumId w:val="52"/>
  </w:num>
  <w:num w:numId="119">
    <w:abstractNumId w:val="131"/>
  </w:num>
  <w:num w:numId="120">
    <w:abstractNumId w:val="81"/>
  </w:num>
  <w:num w:numId="121">
    <w:abstractNumId w:val="180"/>
  </w:num>
  <w:num w:numId="122">
    <w:abstractNumId w:val="133"/>
  </w:num>
  <w:num w:numId="123">
    <w:abstractNumId w:val="159"/>
  </w:num>
  <w:num w:numId="124">
    <w:abstractNumId w:val="160"/>
  </w:num>
  <w:num w:numId="125">
    <w:abstractNumId w:val="31"/>
  </w:num>
  <w:num w:numId="126">
    <w:abstractNumId w:val="94"/>
  </w:num>
  <w:num w:numId="127">
    <w:abstractNumId w:val="104"/>
  </w:num>
  <w:num w:numId="128">
    <w:abstractNumId w:val="166"/>
  </w:num>
  <w:num w:numId="129">
    <w:abstractNumId w:val="127"/>
  </w:num>
  <w:num w:numId="130">
    <w:abstractNumId w:val="34"/>
  </w:num>
  <w:num w:numId="131">
    <w:abstractNumId w:val="8"/>
  </w:num>
  <w:num w:numId="132">
    <w:abstractNumId w:val="151"/>
  </w:num>
  <w:num w:numId="133">
    <w:abstractNumId w:val="59"/>
  </w:num>
  <w:num w:numId="134">
    <w:abstractNumId w:val="39"/>
  </w:num>
  <w:num w:numId="135">
    <w:abstractNumId w:val="110"/>
  </w:num>
  <w:num w:numId="136">
    <w:abstractNumId w:val="152"/>
  </w:num>
  <w:num w:numId="137">
    <w:abstractNumId w:val="168"/>
  </w:num>
  <w:num w:numId="138">
    <w:abstractNumId w:val="170"/>
  </w:num>
  <w:num w:numId="139">
    <w:abstractNumId w:val="173"/>
  </w:num>
  <w:num w:numId="140">
    <w:abstractNumId w:val="65"/>
  </w:num>
  <w:num w:numId="141">
    <w:abstractNumId w:val="49"/>
  </w:num>
  <w:num w:numId="142">
    <w:abstractNumId w:val="144"/>
  </w:num>
  <w:num w:numId="143">
    <w:abstractNumId w:val="129"/>
  </w:num>
  <w:num w:numId="144">
    <w:abstractNumId w:val="51"/>
  </w:num>
  <w:num w:numId="145">
    <w:abstractNumId w:val="140"/>
  </w:num>
  <w:num w:numId="146">
    <w:abstractNumId w:val="102"/>
  </w:num>
  <w:num w:numId="147">
    <w:abstractNumId w:val="97"/>
  </w:num>
  <w:num w:numId="148">
    <w:abstractNumId w:val="156"/>
  </w:num>
  <w:num w:numId="149">
    <w:abstractNumId w:val="130"/>
  </w:num>
  <w:num w:numId="150">
    <w:abstractNumId w:val="87"/>
  </w:num>
  <w:num w:numId="151">
    <w:abstractNumId w:val="46"/>
  </w:num>
  <w:num w:numId="152">
    <w:abstractNumId w:val="57"/>
  </w:num>
  <w:num w:numId="153">
    <w:abstractNumId w:val="76"/>
  </w:num>
  <w:num w:numId="154">
    <w:abstractNumId w:val="16"/>
  </w:num>
  <w:num w:numId="155">
    <w:abstractNumId w:val="148"/>
  </w:num>
  <w:num w:numId="156">
    <w:abstractNumId w:val="73"/>
  </w:num>
  <w:num w:numId="157">
    <w:abstractNumId w:val="167"/>
  </w:num>
  <w:num w:numId="158">
    <w:abstractNumId w:val="32"/>
  </w:num>
  <w:num w:numId="159">
    <w:abstractNumId w:val="38"/>
  </w:num>
  <w:num w:numId="160">
    <w:abstractNumId w:val="123"/>
  </w:num>
  <w:num w:numId="161">
    <w:abstractNumId w:val="105"/>
  </w:num>
  <w:num w:numId="162">
    <w:abstractNumId w:val="60"/>
  </w:num>
  <w:num w:numId="163">
    <w:abstractNumId w:val="157"/>
  </w:num>
  <w:num w:numId="164">
    <w:abstractNumId w:val="162"/>
  </w:num>
  <w:num w:numId="165">
    <w:abstractNumId w:val="25"/>
  </w:num>
  <w:num w:numId="166">
    <w:abstractNumId w:val="74"/>
  </w:num>
  <w:num w:numId="167">
    <w:abstractNumId w:val="24"/>
  </w:num>
  <w:num w:numId="168">
    <w:abstractNumId w:val="90"/>
  </w:num>
  <w:num w:numId="169">
    <w:abstractNumId w:val="98"/>
  </w:num>
  <w:num w:numId="170">
    <w:abstractNumId w:val="134"/>
  </w:num>
  <w:num w:numId="171">
    <w:abstractNumId w:val="41"/>
  </w:num>
  <w:num w:numId="172">
    <w:abstractNumId w:val="75"/>
  </w:num>
  <w:num w:numId="173">
    <w:abstractNumId w:val="122"/>
  </w:num>
  <w:num w:numId="174">
    <w:abstractNumId w:val="47"/>
  </w:num>
  <w:num w:numId="175">
    <w:abstractNumId w:val="0"/>
  </w:num>
  <w:num w:numId="176">
    <w:abstractNumId w:val="14"/>
  </w:num>
  <w:num w:numId="177">
    <w:abstractNumId w:val="135"/>
  </w:num>
  <w:num w:numId="178">
    <w:abstractNumId w:val="117"/>
  </w:num>
  <w:num w:numId="179">
    <w:abstractNumId w:val="37"/>
  </w:num>
  <w:num w:numId="180">
    <w:abstractNumId w:val="111"/>
  </w:num>
  <w:num w:numId="181">
    <w:abstractNumId w:val="124"/>
  </w:num>
  <w:num w:numId="182">
    <w:abstractNumId w:val="92"/>
  </w:num>
  <w:num w:numId="183">
    <w:abstractNumId w:val="161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78"/>
    <w:rsid w:val="00733B05"/>
    <w:rsid w:val="007F5478"/>
    <w:rsid w:val="008B5E1E"/>
    <w:rsid w:val="00BE414A"/>
    <w:rsid w:val="00C42EE6"/>
    <w:rsid w:val="00F7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D3C8E"/>
  <w15:chartTrackingRefBased/>
  <w15:docId w15:val="{851930FA-5607-4690-8BF3-051FB133F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7F54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7F547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customStyle="1" w:styleId="left">
    <w:name w:val="left"/>
    <w:basedOn w:val="Norml"/>
    <w:rsid w:val="007F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core">
    <w:name w:val="score"/>
    <w:basedOn w:val="Norml"/>
    <w:rsid w:val="007F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g-binding">
    <w:name w:val="ng-binding"/>
    <w:basedOn w:val="Norml"/>
    <w:rsid w:val="007F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4091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9320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5173063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20914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5538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5314587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4602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2744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66921914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20013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6671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9540205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4524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4368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20568063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5429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9346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  <w:div w:id="166547661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8" w:color="auto"/>
            <w:bottom w:val="single" w:sz="6" w:space="8" w:color="DDDDDD"/>
            <w:right w:val="none" w:sz="0" w:space="8" w:color="auto"/>
          </w:divBdr>
          <w:divsChild>
            <w:div w:id="19937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  <w:div w:id="16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1130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628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334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469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478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624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689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100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899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200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370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968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694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212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958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09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63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800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877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122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713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640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11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404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74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28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585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03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301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0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482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480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08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7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74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499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007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96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5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6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1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54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11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452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998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22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054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74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16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964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9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25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46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561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40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613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97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246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6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1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4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84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8587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845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817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141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810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95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623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239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911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619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9074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68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73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609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10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458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7435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703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774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112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31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98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00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34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487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46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989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34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967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756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891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434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301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3639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0502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39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908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406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873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650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01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110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698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788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26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93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236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00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179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000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89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658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789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1324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05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0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921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5910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8417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21158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31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5509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951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4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871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0856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4153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3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6419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828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19597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6738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  <w:div w:id="4149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1130D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7517</Words>
  <Characters>51872</Characters>
  <Application>Microsoft Office Word</Application>
  <DocSecurity>0</DocSecurity>
  <Lines>432</Lines>
  <Paragraphs>118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Lőrinczné Méhész Ibolya</dc:creator>
  <cp:keywords/>
  <dc:description/>
  <cp:lastModifiedBy>Lőrinczné Méhész Ibolya</cp:lastModifiedBy>
  <cp:revision>3</cp:revision>
  <dcterms:created xsi:type="dcterms:W3CDTF">2024-11-27T11:12:00Z</dcterms:created>
  <dcterms:modified xsi:type="dcterms:W3CDTF">2024-11-27T12:15:00Z</dcterms:modified>
</cp:coreProperties>
</file>